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隶书" w:hAnsi="宋体" w:eastAsia="隶书"/>
          <w:bCs/>
          <w:color w:val="000000"/>
          <w:sz w:val="36"/>
          <w:szCs w:val="36"/>
        </w:rPr>
      </w:pPr>
      <w:r>
        <w:rPr>
          <w:rFonts w:hint="eastAsia" w:ascii="隶书" w:hAnsi="宋体" w:eastAsia="隶书"/>
          <w:bCs/>
          <w:color w:val="000000"/>
          <w:sz w:val="36"/>
          <w:szCs w:val="36"/>
        </w:rPr>
        <w:t>管理体系审核记录表</w:t>
      </w:r>
    </w:p>
    <w:p>
      <w:pPr>
        <w:pStyle w:val="2"/>
        <w:rPr>
          <w:rFonts w:hint="eastAsia" w:ascii="隶书" w:hAnsi="宋体" w:eastAsia="隶书"/>
          <w:bCs/>
          <w:color w:val="000000"/>
          <w:sz w:val="36"/>
          <w:szCs w:val="36"/>
        </w:rPr>
      </w:pPr>
    </w:p>
    <w:tbl>
      <w:tblPr>
        <w:tblStyle w:val="10"/>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2"/>
        <w:gridCol w:w="1228"/>
        <w:gridCol w:w="10943"/>
        <w:gridCol w:w="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892" w:type="dxa"/>
            <w:vMerge w:val="restart"/>
            <w:vAlign w:val="center"/>
          </w:tcPr>
          <w:p>
            <w:pPr>
              <w:spacing w:before="120" w:line="360" w:lineRule="auto"/>
              <w:jc w:val="center"/>
              <w:rPr>
                <w:rFonts w:ascii="宋体" w:hAnsi="宋体" w:cs="宋体"/>
                <w:szCs w:val="21"/>
              </w:rPr>
            </w:pPr>
            <w:r>
              <w:rPr>
                <w:rFonts w:hint="eastAsia" w:ascii="宋体" w:hAnsi="宋体" w:cs="宋体"/>
                <w:szCs w:val="21"/>
              </w:rPr>
              <w:t>过程与活动、</w:t>
            </w:r>
          </w:p>
          <w:p>
            <w:pPr>
              <w:spacing w:line="360" w:lineRule="auto"/>
              <w:jc w:val="center"/>
              <w:rPr>
                <w:rFonts w:ascii="宋体" w:hAnsi="宋体" w:cs="宋体"/>
                <w:szCs w:val="21"/>
              </w:rPr>
            </w:pPr>
            <w:r>
              <w:rPr>
                <w:rFonts w:hint="eastAsia" w:ascii="宋体" w:hAnsi="宋体" w:cs="宋体"/>
                <w:szCs w:val="21"/>
              </w:rPr>
              <w:t>抽样计划</w:t>
            </w:r>
          </w:p>
        </w:tc>
        <w:tc>
          <w:tcPr>
            <w:tcW w:w="1228" w:type="dxa"/>
            <w:vMerge w:val="restart"/>
            <w:vAlign w:val="center"/>
          </w:tcPr>
          <w:p>
            <w:pPr>
              <w:spacing w:line="360" w:lineRule="auto"/>
              <w:rPr>
                <w:rFonts w:ascii="宋体" w:hAnsi="宋体" w:cs="宋体"/>
                <w:szCs w:val="21"/>
              </w:rPr>
            </w:pPr>
            <w:r>
              <w:rPr>
                <w:rFonts w:hint="eastAsia" w:ascii="宋体" w:hAnsi="宋体" w:cs="宋体"/>
                <w:szCs w:val="21"/>
              </w:rPr>
              <w:t>涉及</w:t>
            </w:r>
          </w:p>
          <w:p>
            <w:pPr>
              <w:spacing w:line="360" w:lineRule="auto"/>
              <w:rPr>
                <w:rFonts w:ascii="宋体" w:hAnsi="宋体" w:cs="宋体"/>
                <w:szCs w:val="21"/>
              </w:rPr>
            </w:pPr>
            <w:r>
              <w:rPr>
                <w:rFonts w:hint="eastAsia" w:ascii="宋体" w:hAnsi="宋体" w:cs="宋体"/>
                <w:szCs w:val="21"/>
              </w:rPr>
              <w:t>条款</w:t>
            </w:r>
          </w:p>
        </w:tc>
        <w:tc>
          <w:tcPr>
            <w:tcW w:w="10943" w:type="dxa"/>
            <w:vAlign w:val="center"/>
          </w:tcPr>
          <w:p>
            <w:pPr>
              <w:spacing w:line="360" w:lineRule="auto"/>
              <w:rPr>
                <w:rFonts w:hint="default" w:ascii="宋体" w:hAnsi="宋体" w:eastAsia="宋体" w:cs="宋体"/>
                <w:szCs w:val="21"/>
                <w:lang w:val="en-US" w:eastAsia="zh-CN"/>
              </w:rPr>
            </w:pPr>
            <w:r>
              <w:rPr>
                <w:rFonts w:hint="eastAsia" w:ascii="宋体" w:hAnsi="宋体" w:cs="宋体"/>
                <w:szCs w:val="21"/>
              </w:rPr>
              <w:t>受审核部门：管理层    总经理：</w:t>
            </w:r>
            <w:r>
              <w:rPr>
                <w:rFonts w:hint="eastAsia"/>
                <w:vertAlign w:val="baseline"/>
                <w:lang w:val="en-US" w:eastAsia="zh-CN"/>
              </w:rPr>
              <w:t>王建峰</w:t>
            </w:r>
            <w:r>
              <w:rPr>
                <w:rFonts w:hint="eastAsia" w:ascii="宋体" w:hAnsi="宋体" w:cs="宋体"/>
                <w:szCs w:val="21"/>
                <w:lang w:val="en-US" w:eastAsia="zh-CN"/>
              </w:rPr>
              <w:t xml:space="preserve">   </w:t>
            </w:r>
            <w:r>
              <w:rPr>
                <w:rFonts w:hint="eastAsia" w:ascii="宋体" w:hAnsi="宋体" w:cs="宋体"/>
                <w:szCs w:val="21"/>
              </w:rPr>
              <w:t xml:space="preserve"> 管理者代表</w:t>
            </w:r>
            <w:r>
              <w:rPr>
                <w:rFonts w:hint="eastAsia" w:ascii="宋体" w:hAnsi="宋体" w:cs="宋体"/>
                <w:szCs w:val="21"/>
                <w:lang w:eastAsia="zh-CN"/>
              </w:rPr>
              <w:t>：</w:t>
            </w:r>
            <w:r>
              <w:rPr>
                <w:rFonts w:hint="eastAsia" w:ascii="宋体" w:hAnsi="宋体"/>
                <w:szCs w:val="21"/>
                <w:lang w:val="en-US" w:eastAsia="zh-CN"/>
              </w:rPr>
              <w:t>朱卫平</w:t>
            </w:r>
            <w:r>
              <w:rPr>
                <w:rFonts w:hint="eastAsia" w:ascii="宋体" w:hAnsi="宋体"/>
                <w:bCs/>
                <w:szCs w:val="21"/>
              </w:rPr>
              <w:t xml:space="preserve"> </w:t>
            </w:r>
            <w:r>
              <w:rPr>
                <w:rFonts w:hint="eastAsia" w:ascii="宋体" w:hAnsi="宋体" w:cs="宋体"/>
                <w:szCs w:val="21"/>
                <w:lang w:val="en-US" w:eastAsia="zh-CN"/>
              </w:rPr>
              <w:t xml:space="preserve">    </w:t>
            </w:r>
            <w:r>
              <w:rPr>
                <w:rFonts w:hint="eastAsia" w:ascii="宋体" w:hAnsi="宋体"/>
                <w:bCs/>
                <w:szCs w:val="21"/>
              </w:rPr>
              <w:t>员工职业健康安全事务代表：</w:t>
            </w:r>
            <w:r>
              <w:rPr>
                <w:rFonts w:hint="eastAsia" w:ascii="宋体" w:hAnsi="宋体" w:eastAsia="宋体" w:cs="宋体"/>
                <w:sz w:val="21"/>
                <w:szCs w:val="21"/>
                <w:lang w:val="en-US" w:eastAsia="zh-CN"/>
              </w:rPr>
              <w:t>王云倩</w:t>
            </w:r>
          </w:p>
        </w:tc>
        <w:tc>
          <w:tcPr>
            <w:tcW w:w="646" w:type="dxa"/>
            <w:vMerge w:val="restart"/>
            <w:vAlign w:val="center"/>
          </w:tcPr>
          <w:p>
            <w:pPr>
              <w:spacing w:line="360" w:lineRule="auto"/>
              <w:rPr>
                <w:rFonts w:ascii="宋体" w:hAnsi="宋体" w:cs="宋体"/>
                <w:szCs w:val="21"/>
              </w:rPr>
            </w:pPr>
            <w:r>
              <w:rPr>
                <w:rFonts w:hint="eastAsia" w:ascii="宋体" w:hAnsi="宋体" w:cs="宋体"/>
                <w:szCs w:val="21"/>
              </w:rPr>
              <w:t>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1892" w:type="dxa"/>
            <w:vMerge w:val="continue"/>
            <w:vAlign w:val="center"/>
          </w:tcPr>
          <w:p>
            <w:pPr>
              <w:spacing w:line="360" w:lineRule="auto"/>
              <w:rPr>
                <w:rFonts w:ascii="宋体" w:hAnsi="宋体" w:cs="宋体"/>
                <w:szCs w:val="21"/>
              </w:rPr>
            </w:pPr>
          </w:p>
        </w:tc>
        <w:tc>
          <w:tcPr>
            <w:tcW w:w="1228" w:type="dxa"/>
            <w:vMerge w:val="continue"/>
            <w:vAlign w:val="center"/>
          </w:tcPr>
          <w:p>
            <w:pPr>
              <w:spacing w:line="360" w:lineRule="auto"/>
              <w:rPr>
                <w:rFonts w:ascii="宋体" w:hAnsi="宋体" w:cs="宋体"/>
                <w:szCs w:val="21"/>
              </w:rPr>
            </w:pPr>
          </w:p>
        </w:tc>
        <w:tc>
          <w:tcPr>
            <w:tcW w:w="10943" w:type="dxa"/>
            <w:vAlign w:val="center"/>
          </w:tcPr>
          <w:p>
            <w:pPr>
              <w:spacing w:line="360" w:lineRule="auto"/>
              <w:rPr>
                <w:rFonts w:ascii="宋体" w:hAnsi="宋体" w:cs="宋体"/>
                <w:szCs w:val="21"/>
              </w:rPr>
            </w:pPr>
            <w:r>
              <w:rPr>
                <w:rFonts w:hint="eastAsia" w:ascii="宋体" w:hAnsi="宋体" w:cs="宋体"/>
                <w:szCs w:val="21"/>
              </w:rPr>
              <w:t>审核员：</w:t>
            </w:r>
            <w:r>
              <w:rPr>
                <w:rFonts w:hint="eastAsia" w:ascii="宋体" w:hAnsi="宋体" w:cs="宋体"/>
                <w:szCs w:val="21"/>
                <w:lang w:val="en-US" w:eastAsia="zh-CN"/>
              </w:rPr>
              <w:t>姜海军</w:t>
            </w:r>
            <w:r>
              <w:rPr>
                <w:rFonts w:hint="eastAsia" w:ascii="宋体" w:hAnsi="宋体" w:cs="宋体"/>
                <w:szCs w:val="21"/>
              </w:rPr>
              <w:t xml:space="preserve">         审核时间：</w:t>
            </w:r>
            <w:r>
              <w:rPr>
                <w:rFonts w:hint="eastAsia" w:ascii="宋体" w:hAnsi="宋体" w:eastAsia="宋体" w:cs="宋体"/>
                <w:sz w:val="21"/>
                <w:szCs w:val="21"/>
                <w:lang w:val="en-US" w:eastAsia="zh-CN"/>
              </w:rPr>
              <w:t>2020</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07</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0</w:t>
            </w:r>
            <w:r>
              <w:rPr>
                <w:rFonts w:hint="eastAsia" w:ascii="宋体" w:hAnsi="宋体" w:cs="宋体"/>
                <w:sz w:val="21"/>
                <w:szCs w:val="21"/>
                <w:lang w:val="en-US" w:eastAsia="zh-CN"/>
              </w:rPr>
              <w:t>5</w:t>
            </w:r>
          </w:p>
        </w:tc>
        <w:tc>
          <w:tcPr>
            <w:tcW w:w="646" w:type="dxa"/>
            <w:vMerge w:val="continue"/>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92" w:type="dxa"/>
            <w:vMerge w:val="continue"/>
            <w:vAlign w:val="center"/>
          </w:tcPr>
          <w:p>
            <w:pPr>
              <w:spacing w:line="360" w:lineRule="auto"/>
              <w:rPr>
                <w:rFonts w:ascii="宋体" w:hAnsi="宋体" w:cs="宋体"/>
                <w:szCs w:val="21"/>
              </w:rPr>
            </w:pPr>
          </w:p>
        </w:tc>
        <w:tc>
          <w:tcPr>
            <w:tcW w:w="1228" w:type="dxa"/>
            <w:vMerge w:val="continue"/>
            <w:vAlign w:val="center"/>
          </w:tcPr>
          <w:p>
            <w:pPr>
              <w:spacing w:line="360" w:lineRule="auto"/>
              <w:rPr>
                <w:rFonts w:ascii="宋体" w:hAnsi="宋体" w:cs="宋体"/>
                <w:szCs w:val="21"/>
              </w:rPr>
            </w:pPr>
          </w:p>
        </w:tc>
        <w:tc>
          <w:tcPr>
            <w:tcW w:w="10943" w:type="dxa"/>
            <w:vAlign w:val="center"/>
          </w:tcPr>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审核条款：</w:t>
            </w:r>
          </w:p>
          <w:p>
            <w:pPr>
              <w:snapToGrid w:val="0"/>
              <w:spacing w:line="360" w:lineRule="auto"/>
              <w:rPr>
                <w:rFonts w:hint="eastAsia" w:ascii="宋体" w:hAnsi="宋体" w:eastAsia="宋体" w:cs="宋体"/>
                <w:spacing w:val="-6"/>
                <w:sz w:val="21"/>
                <w:szCs w:val="21"/>
              </w:rPr>
            </w:pPr>
            <w:r>
              <w:rPr>
                <w:rFonts w:hint="eastAsia" w:ascii="宋体" w:hAnsi="宋体" w:eastAsia="宋体" w:cs="宋体"/>
                <w:sz w:val="21"/>
                <w:szCs w:val="21"/>
              </w:rPr>
              <w:t>QMS：4.1组织及其环境;4.2相关方需求与期望;4.3确定体系范围;4.4体系及其过程;5.1领导作用与承诺;5.2方针;5.3组织的角色、职责和权限；6.1应对风险和机遇的措施；6.2目标及其实现的策划；6.3变更的策划；7.1.1资源 总则；9.1.1监测、分析和评价总则；9.2内部审核；9.3管理评审；10.1改进 总则；10.3持续改进</w:t>
            </w:r>
          </w:p>
          <w:p>
            <w:pPr>
              <w:snapToGrid w:val="0"/>
              <w:spacing w:line="360" w:lineRule="auto"/>
              <w:rPr>
                <w:rFonts w:hint="eastAsia" w:ascii="宋体" w:hAnsi="宋体" w:eastAsia="宋体" w:cs="宋体"/>
                <w:sz w:val="21"/>
                <w:szCs w:val="21"/>
              </w:rPr>
            </w:pPr>
            <w:r>
              <w:rPr>
                <w:rFonts w:hint="eastAsia" w:ascii="宋体" w:hAnsi="宋体" w:eastAsia="宋体" w:cs="宋体"/>
                <w:sz w:val="21"/>
                <w:szCs w:val="21"/>
              </w:rPr>
              <w:t>OHSMS：4.1总要求；4.2方针；4.4.1资源、角色、职责、责任与权限；4.4.3沟通、参与和协商；4.4.4体系文件；4.5.5内部审核；4.6管理评审；4.5.3事件调查、不符合、纠正措施与预防措施</w:t>
            </w:r>
          </w:p>
          <w:p>
            <w:pPr>
              <w:pStyle w:val="2"/>
              <w:spacing w:line="360" w:lineRule="auto"/>
              <w:jc w:val="both"/>
              <w:rPr>
                <w:rFonts w:hint="eastAsia"/>
              </w:rPr>
            </w:pPr>
            <w:r>
              <w:rPr>
                <w:rFonts w:hint="eastAsia" w:ascii="宋体" w:hAnsi="宋体" w:eastAsia="宋体" w:cs="宋体"/>
                <w:sz w:val="21"/>
                <w:szCs w:val="21"/>
              </w:rPr>
              <w:t>国家/地方监督抽查情况；顾客满意、相关方投诉及处理情况，验证企业相关资质证明的有效性；</w:t>
            </w:r>
          </w:p>
        </w:tc>
        <w:tc>
          <w:tcPr>
            <w:tcW w:w="646" w:type="dxa"/>
            <w:vMerge w:val="continue"/>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892" w:type="dxa"/>
            <w:vAlign w:val="center"/>
          </w:tcPr>
          <w:p>
            <w:pPr>
              <w:spacing w:line="360" w:lineRule="auto"/>
              <w:jc w:val="left"/>
              <w:rPr>
                <w:rFonts w:hint="eastAsia" w:ascii="宋体" w:hAnsi="宋体" w:cs="宋体"/>
                <w:sz w:val="21"/>
                <w:szCs w:val="21"/>
              </w:rPr>
            </w:pPr>
            <w:r>
              <w:rPr>
                <w:rFonts w:hint="eastAsia" w:ascii="宋体" w:hAnsi="宋体" w:cs="宋体"/>
                <w:sz w:val="21"/>
                <w:szCs w:val="21"/>
              </w:rPr>
              <w:t>公司概况、总要求、资源、管理体系范围</w:t>
            </w:r>
          </w:p>
          <w:p>
            <w:pPr>
              <w:spacing w:line="360" w:lineRule="auto"/>
              <w:jc w:val="left"/>
              <w:rPr>
                <w:rFonts w:hint="eastAsia" w:ascii="宋体" w:hAnsi="宋体" w:cs="宋体"/>
                <w:sz w:val="21"/>
                <w:szCs w:val="21"/>
              </w:rPr>
            </w:pPr>
            <w:r>
              <w:rPr>
                <w:rFonts w:hint="eastAsia" w:ascii="宋体" w:hAnsi="宋体" w:cs="宋体"/>
                <w:sz w:val="21"/>
                <w:szCs w:val="21"/>
              </w:rPr>
              <w:t>理解组织及其环境</w:t>
            </w:r>
          </w:p>
          <w:p>
            <w:pPr>
              <w:spacing w:line="360" w:lineRule="auto"/>
              <w:jc w:val="left"/>
              <w:rPr>
                <w:rFonts w:ascii="宋体" w:hAnsi="宋体" w:cs="宋体"/>
                <w:szCs w:val="21"/>
              </w:rPr>
            </w:pPr>
          </w:p>
        </w:tc>
        <w:tc>
          <w:tcPr>
            <w:tcW w:w="1228" w:type="dxa"/>
            <w:vAlign w:val="center"/>
          </w:tcPr>
          <w:p>
            <w:pPr>
              <w:rPr>
                <w:rFonts w:hint="eastAsia" w:ascii="宋体" w:hAnsi="宋体" w:cs="宋体"/>
                <w:b w:val="0"/>
                <w:bCs/>
                <w:sz w:val="21"/>
                <w:szCs w:val="21"/>
              </w:rPr>
            </w:pPr>
            <w:r>
              <w:rPr>
                <w:rFonts w:hint="eastAsia" w:ascii="宋体" w:hAnsi="宋体" w:cs="宋体"/>
                <w:b w:val="0"/>
                <w:bCs/>
                <w:sz w:val="21"/>
                <w:szCs w:val="21"/>
              </w:rPr>
              <w:t>Q</w:t>
            </w:r>
            <w:r>
              <w:rPr>
                <w:rFonts w:hint="eastAsia" w:ascii="宋体" w:hAnsi="宋体" w:cs="宋体"/>
                <w:b w:val="0"/>
                <w:bCs/>
                <w:sz w:val="21"/>
                <w:szCs w:val="21"/>
                <w:lang w:val="en-US" w:eastAsia="zh-CN"/>
              </w:rPr>
              <w:t>S</w:t>
            </w:r>
            <w:r>
              <w:rPr>
                <w:rFonts w:hint="eastAsia" w:ascii="宋体" w:hAnsi="宋体" w:cs="宋体"/>
                <w:b w:val="0"/>
                <w:bCs/>
                <w:sz w:val="21"/>
                <w:szCs w:val="21"/>
              </w:rPr>
              <w:t>4.1</w:t>
            </w:r>
          </w:p>
          <w:p>
            <w:pPr>
              <w:rPr>
                <w:rFonts w:hint="eastAsia" w:ascii="宋体" w:hAnsi="宋体" w:eastAsia="宋体" w:cs="宋体"/>
                <w:b w:val="0"/>
                <w:bCs/>
                <w:sz w:val="21"/>
                <w:szCs w:val="21"/>
                <w:lang w:val="en-US" w:eastAsia="zh-CN"/>
              </w:rPr>
            </w:pPr>
            <w:r>
              <w:rPr>
                <w:rFonts w:hint="eastAsia" w:ascii="宋体" w:hAnsi="宋体" w:cs="宋体"/>
                <w:b w:val="0"/>
                <w:bCs/>
                <w:sz w:val="21"/>
                <w:szCs w:val="21"/>
              </w:rPr>
              <w:t>Q4.</w:t>
            </w:r>
            <w:r>
              <w:rPr>
                <w:rFonts w:hint="eastAsia" w:ascii="宋体" w:hAnsi="宋体" w:cs="宋体"/>
                <w:b w:val="0"/>
                <w:bCs/>
                <w:sz w:val="21"/>
                <w:szCs w:val="21"/>
                <w:lang w:val="en-US" w:eastAsia="zh-CN"/>
              </w:rPr>
              <w:t>3</w:t>
            </w:r>
          </w:p>
          <w:p>
            <w:pPr>
              <w:rPr>
                <w:rFonts w:ascii="宋体" w:hAnsi="宋体" w:cs="宋体"/>
                <w:szCs w:val="21"/>
              </w:rPr>
            </w:pPr>
          </w:p>
        </w:tc>
        <w:tc>
          <w:tcPr>
            <w:tcW w:w="10943" w:type="dxa"/>
            <w:vAlign w:val="center"/>
          </w:tcPr>
          <w:p>
            <w:pPr>
              <w:spacing w:line="360" w:lineRule="auto"/>
              <w:jc w:val="left"/>
              <w:rPr>
                <w:rFonts w:hint="eastAsia" w:ascii="宋体" w:hAnsi="宋体"/>
                <w:sz w:val="21"/>
                <w:szCs w:val="21"/>
                <w:highlight w:val="none"/>
                <w:lang w:val="en-US" w:eastAsia="zh-CN"/>
              </w:rPr>
            </w:pPr>
            <w:r>
              <w:rPr>
                <w:rFonts w:hint="eastAsia"/>
              </w:rPr>
              <w:t>面谈人员：最管理者，总经理</w:t>
            </w:r>
            <w:r>
              <w:rPr>
                <w:rFonts w:hint="eastAsia"/>
                <w:lang w:val="en-US" w:eastAsia="zh-CN"/>
              </w:rPr>
              <w:t xml:space="preserve">:王建峰       </w:t>
            </w:r>
            <w:r>
              <w:rPr>
                <w:rFonts w:hint="eastAsia"/>
              </w:rPr>
              <w:t>管代：</w:t>
            </w:r>
            <w:r>
              <w:rPr>
                <w:rFonts w:hint="eastAsia" w:ascii="宋体" w:hAnsi="宋体"/>
                <w:szCs w:val="21"/>
                <w:lang w:val="en-US" w:eastAsia="zh-CN"/>
              </w:rPr>
              <w:t>朱卫平</w:t>
            </w:r>
          </w:p>
          <w:p>
            <w:pPr>
              <w:pStyle w:val="17"/>
              <w:spacing w:line="400" w:lineRule="exact"/>
              <w:ind w:left="0" w:leftChars="0" w:firstLine="0" w:firstLineChars="0"/>
              <w:rPr>
                <w:rFonts w:hint="eastAsia" w:ascii="宋体" w:hAnsi="宋体"/>
                <w:szCs w:val="21"/>
                <w:lang w:val="en-US" w:eastAsia="zh-CN"/>
              </w:rPr>
            </w:pPr>
            <w:r>
              <w:rPr>
                <w:rFonts w:hint="eastAsia" w:ascii="宋体" w:hAnsi="宋体"/>
                <w:szCs w:val="21"/>
                <w:lang w:val="en-US" w:eastAsia="zh-CN"/>
              </w:rPr>
              <w:t>总经理介绍了公司的基本情况，公司名称：南通双耀冲压有限公司，始建于2007年05月16日，有限期：2027年05月15日，注册地址、生产/经营地址均为：南通市南通州区兴仁镇阚庵东村2组。</w:t>
            </w:r>
          </w:p>
          <w:p>
            <w:pPr>
              <w:pStyle w:val="17"/>
              <w:spacing w:line="400" w:lineRule="exact"/>
              <w:ind w:left="0" w:leftChars="0" w:firstLine="0" w:firstLineChars="0"/>
              <w:rPr>
                <w:rFonts w:hint="eastAsia" w:ascii="宋体" w:hAnsi="宋体"/>
                <w:szCs w:val="21"/>
                <w:lang w:val="en-US" w:eastAsia="zh-CN"/>
              </w:rPr>
            </w:pPr>
            <w:r>
              <w:rPr>
                <w:rFonts w:hint="eastAsia" w:ascii="宋体" w:hAnsi="宋体"/>
                <w:szCs w:val="21"/>
                <w:lang w:val="en-US" w:eastAsia="zh-CN"/>
              </w:rPr>
              <w:t>现场查企业营业执照副本，企业经营范围包含认证产品，具备有效资格，详见复印件。</w:t>
            </w:r>
          </w:p>
          <w:p>
            <w:pPr>
              <w:pStyle w:val="17"/>
              <w:spacing w:line="400" w:lineRule="exact"/>
              <w:ind w:left="0" w:leftChars="0" w:firstLine="0" w:firstLineChars="0"/>
              <w:rPr>
                <w:rFonts w:hint="eastAsia" w:ascii="宋体" w:hAnsi="宋体"/>
                <w:szCs w:val="21"/>
                <w:lang w:val="en-US" w:eastAsia="zh-CN"/>
              </w:rPr>
            </w:pPr>
            <w:r>
              <w:rPr>
                <w:rFonts w:hint="eastAsia" w:ascii="宋体" w:hAnsi="宋体"/>
                <w:szCs w:val="21"/>
                <w:lang w:val="en-US" w:eastAsia="zh-CN"/>
              </w:rPr>
              <w:t>公司注册资本50万，现有员工22人，设有生技部、市场部、行政</w:t>
            </w:r>
            <w:r>
              <w:rPr>
                <w:rFonts w:hint="eastAsia" w:ascii="宋体" w:hAnsi="宋体" w:cs="宋体"/>
                <w:color w:val="000000"/>
                <w:sz w:val="21"/>
                <w:szCs w:val="21"/>
                <w:lang w:eastAsia="zh-CN"/>
              </w:rPr>
              <w:t>部</w:t>
            </w:r>
            <w:r>
              <w:rPr>
                <w:rFonts w:hint="eastAsia" w:ascii="宋体" w:hAnsi="宋体"/>
                <w:szCs w:val="21"/>
                <w:lang w:val="en-US" w:eastAsia="zh-CN"/>
              </w:rPr>
              <w:t>等部门，主要产品是金属冲压件冲片来料加工，为南通通达矽钢冲压有限公配套电动机铁芯加工产品，主要生产Φ70～160之间小产品定转子冲片及压装、转子铸铝压铸。</w:t>
            </w:r>
          </w:p>
          <w:p>
            <w:pPr>
              <w:pStyle w:val="17"/>
              <w:spacing w:line="400" w:lineRule="exact"/>
              <w:rPr>
                <w:rFonts w:hint="eastAsia" w:ascii="宋体" w:hAnsi="宋体"/>
                <w:szCs w:val="21"/>
                <w:lang w:val="en-US" w:eastAsia="zh-CN"/>
              </w:rPr>
            </w:pPr>
            <w:r>
              <w:rPr>
                <w:rFonts w:hint="eastAsia" w:ascii="宋体" w:hAnsi="宋体"/>
                <w:szCs w:val="21"/>
                <w:lang w:val="en-US" w:eastAsia="zh-CN"/>
              </w:rPr>
              <w:t>公司2018年6月05日，发布并实施了QS管理体系，制定了质量、职业健康安全方针，QS运行已了两年。公司按照顾客要求组织生产，具备稳定的管理和操作人员，办公设施、生产设备配备齐全, 基本能够满足目前产品生产活动的需要。</w:t>
            </w:r>
          </w:p>
          <w:p>
            <w:pPr>
              <w:pStyle w:val="17"/>
              <w:spacing w:line="400" w:lineRule="exact"/>
              <w:ind w:left="0" w:leftChars="0" w:firstLine="0" w:firstLineChars="0"/>
              <w:rPr>
                <w:rFonts w:hint="eastAsia" w:ascii="宋体" w:hAnsi="宋体"/>
                <w:szCs w:val="21"/>
                <w:lang w:val="en-US" w:eastAsia="zh-CN"/>
              </w:rPr>
            </w:pPr>
            <w:r>
              <w:rPr>
                <w:rFonts w:hint="eastAsia" w:ascii="宋体" w:hAnsi="宋体"/>
                <w:szCs w:val="21"/>
                <w:lang w:val="en-US" w:eastAsia="zh-CN"/>
              </w:rPr>
              <w:t>企业实施质量管理体系覆盖的产品为：</w:t>
            </w:r>
            <w:r>
              <w:rPr>
                <w:rFonts w:hint="eastAsia" w:ascii="宋体" w:hAnsi="宋体"/>
                <w:szCs w:val="21"/>
              </w:rPr>
              <w:t>定转子</w:t>
            </w:r>
            <w:r>
              <w:rPr>
                <w:rFonts w:hint="eastAsia" w:ascii="宋体" w:hAnsi="宋体"/>
                <w:szCs w:val="21"/>
                <w:lang w:val="en-US" w:eastAsia="zh-CN"/>
              </w:rPr>
              <w:t>铁芯（</w:t>
            </w:r>
            <w:r>
              <w:rPr>
                <w:rFonts w:hint="eastAsia" w:ascii="宋体" w:hAnsi="宋体"/>
                <w:szCs w:val="21"/>
              </w:rPr>
              <w:t>冲片</w:t>
            </w:r>
            <w:r>
              <w:rPr>
                <w:rFonts w:hint="eastAsia" w:ascii="宋体" w:hAnsi="宋体"/>
                <w:szCs w:val="21"/>
                <w:lang w:val="en-US" w:eastAsia="zh-CN"/>
              </w:rPr>
              <w:t>）、转子</w:t>
            </w:r>
            <w:r>
              <w:rPr>
                <w:rFonts w:hint="eastAsia" w:ascii="宋体" w:hAnsi="宋体"/>
                <w:szCs w:val="21"/>
              </w:rPr>
              <w:t>铸铝</w:t>
            </w:r>
            <w:r>
              <w:rPr>
                <w:rFonts w:hint="eastAsia" w:ascii="宋体" w:hAnsi="宋体"/>
                <w:szCs w:val="21"/>
                <w:lang w:val="en-US" w:eastAsia="zh-CN"/>
              </w:rPr>
              <w:t>件的生产。</w:t>
            </w:r>
          </w:p>
          <w:p>
            <w:pPr>
              <w:pStyle w:val="17"/>
              <w:spacing w:line="400" w:lineRule="exact"/>
              <w:ind w:left="0" w:leftChars="0" w:firstLine="0" w:firstLineChars="0"/>
              <w:rPr>
                <w:rFonts w:hint="eastAsia" w:ascii="宋体" w:hAnsi="宋体"/>
                <w:szCs w:val="21"/>
                <w:lang w:val="en-US" w:eastAsia="zh-CN"/>
              </w:rPr>
            </w:pPr>
            <w:r>
              <w:rPr>
                <w:rFonts w:hint="eastAsia" w:ascii="宋体" w:hAnsi="宋体"/>
                <w:szCs w:val="21"/>
                <w:lang w:val="en-US" w:eastAsia="zh-CN"/>
              </w:rPr>
              <w:t>职业健康安全管理体系覆盖范围：</w:t>
            </w:r>
            <w:r>
              <w:rPr>
                <w:rFonts w:hint="eastAsia" w:ascii="宋体" w:hAnsi="宋体"/>
                <w:szCs w:val="21"/>
              </w:rPr>
              <w:t>定转子</w:t>
            </w:r>
            <w:r>
              <w:rPr>
                <w:rFonts w:hint="eastAsia" w:ascii="宋体" w:hAnsi="宋体"/>
                <w:szCs w:val="21"/>
                <w:lang w:val="en-US" w:eastAsia="zh-CN"/>
              </w:rPr>
              <w:t>铁芯（</w:t>
            </w:r>
            <w:r>
              <w:rPr>
                <w:rFonts w:hint="eastAsia" w:ascii="宋体" w:hAnsi="宋体"/>
                <w:szCs w:val="21"/>
              </w:rPr>
              <w:t>冲片</w:t>
            </w:r>
            <w:r>
              <w:rPr>
                <w:rFonts w:hint="eastAsia" w:ascii="宋体" w:hAnsi="宋体"/>
                <w:szCs w:val="21"/>
                <w:lang w:val="en-US" w:eastAsia="zh-CN"/>
              </w:rPr>
              <w:t>）、转子</w:t>
            </w:r>
            <w:r>
              <w:rPr>
                <w:rFonts w:hint="eastAsia" w:ascii="宋体" w:hAnsi="宋体"/>
                <w:szCs w:val="21"/>
              </w:rPr>
              <w:t>铸铝</w:t>
            </w:r>
            <w:r>
              <w:rPr>
                <w:rFonts w:hint="eastAsia" w:ascii="宋体" w:hAnsi="宋体"/>
                <w:szCs w:val="21"/>
                <w:lang w:val="en-US" w:eastAsia="zh-CN"/>
              </w:rPr>
              <w:t>件的生产及相关管理活动。</w:t>
            </w:r>
          </w:p>
          <w:p>
            <w:pPr>
              <w:pStyle w:val="17"/>
              <w:spacing w:line="400" w:lineRule="exact"/>
              <w:ind w:left="0" w:leftChars="0" w:firstLine="0" w:firstLineChars="0"/>
              <w:rPr>
                <w:rFonts w:hint="eastAsia" w:ascii="宋体" w:hAnsi="宋体"/>
                <w:szCs w:val="21"/>
                <w:lang w:val="en-US" w:eastAsia="zh-CN"/>
              </w:rPr>
            </w:pPr>
            <w:r>
              <w:rPr>
                <w:rFonts w:hint="eastAsia" w:ascii="宋体" w:hAnsi="宋体"/>
                <w:szCs w:val="21"/>
                <w:lang w:val="en-US" w:eastAsia="zh-CN"/>
              </w:rPr>
              <w:t>现场与总经理沟通并巡视现场：</w:t>
            </w:r>
          </w:p>
          <w:p>
            <w:pPr>
              <w:pStyle w:val="17"/>
              <w:spacing w:line="400" w:lineRule="exact"/>
              <w:ind w:left="0" w:leftChars="0" w:firstLine="420" w:firstLineChars="200"/>
              <w:rPr>
                <w:rFonts w:hint="default" w:ascii="宋体" w:hAnsi="宋体"/>
                <w:szCs w:val="21"/>
                <w:lang w:val="en-US" w:eastAsia="zh-CN"/>
              </w:rPr>
            </w:pPr>
            <w:r>
              <w:rPr>
                <w:rFonts w:hint="eastAsia" w:ascii="宋体" w:hAnsi="宋体"/>
                <w:szCs w:val="21"/>
                <w:lang w:val="en-US" w:eastAsia="zh-CN"/>
              </w:rPr>
              <w:t>公司占地面积近4000平方米，建筑面积3000平方米，配备冲床、高速冲、定子压装、转子铸铝制造和维修设备等32台，增添了高效、精准、稳定的GDC/GW 200T-2000T冷室压铸机，提高产品精度和效率。</w:t>
            </w:r>
          </w:p>
          <w:p>
            <w:pPr>
              <w:pStyle w:val="17"/>
              <w:spacing w:line="400" w:lineRule="exact"/>
              <w:ind w:left="0" w:leftChars="0" w:firstLine="420" w:firstLineChars="200"/>
              <w:rPr>
                <w:rFonts w:hint="eastAsia" w:ascii="宋体" w:hAnsi="宋体" w:cs="宋体"/>
                <w:sz w:val="21"/>
                <w:szCs w:val="21"/>
                <w:lang w:val="en-US" w:eastAsia="zh-CN"/>
              </w:rPr>
            </w:pPr>
            <w:r>
              <w:rPr>
                <w:rFonts w:hint="eastAsia" w:ascii="宋体" w:hAnsi="宋体" w:cs="宋体"/>
                <w:sz w:val="21"/>
                <w:szCs w:val="21"/>
                <w:lang w:val="en-US" w:eastAsia="zh-CN"/>
              </w:rPr>
              <w:t>企业的理念为“创新科技、求真务实、诚信立业”，竭诚为南通通达提供精良的产品及全面优质的服务。</w:t>
            </w:r>
          </w:p>
          <w:p>
            <w:pPr>
              <w:pStyle w:val="17"/>
              <w:spacing w:line="400" w:lineRule="exact"/>
              <w:ind w:left="0" w:leftChars="0" w:firstLine="420" w:firstLineChars="200"/>
              <w:rPr>
                <w:rFonts w:hint="eastAsia" w:ascii="宋体" w:hAnsi="宋体" w:cs="宋体"/>
                <w:sz w:val="21"/>
                <w:szCs w:val="21"/>
                <w:lang w:val="en-US" w:eastAsia="zh-CN"/>
              </w:rPr>
            </w:pPr>
            <w:r>
              <w:rPr>
                <w:rFonts w:hint="eastAsia" w:ascii="宋体" w:hAnsi="宋体" w:cs="宋体"/>
                <w:sz w:val="21"/>
                <w:szCs w:val="21"/>
                <w:lang w:val="en-US" w:eastAsia="zh-CN"/>
              </w:rPr>
              <w:t>公司承诺：诚取信于客户，以诚取信于市场，以诚取信于世。</w:t>
            </w:r>
          </w:p>
          <w:p>
            <w:pPr>
              <w:pStyle w:val="17"/>
              <w:spacing w:line="400" w:lineRule="exact"/>
              <w:rPr>
                <w:rFonts w:hint="eastAsia"/>
                <w:color w:val="000000" w:themeColor="text1"/>
              </w:rPr>
            </w:pPr>
            <w:r>
              <w:rPr>
                <w:rFonts w:hint="eastAsia" w:ascii="宋体" w:hAnsi="宋体"/>
                <w:szCs w:val="21"/>
                <w:lang w:val="en-US" w:eastAsia="zh-CN"/>
              </w:rPr>
              <w:t>王总介绍了企业目前所处的内外部环境：提供了《组织内外部环境要素识别表》：内部因素：企业文化、公司价值观、企业知识、绩效、财务因素、资源因素、人力因素、运营因素相关因素。</w:t>
            </w:r>
          </w:p>
        </w:tc>
        <w:tc>
          <w:tcPr>
            <w:tcW w:w="646"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892" w:type="dxa"/>
            <w:vAlign w:val="center"/>
          </w:tcPr>
          <w:p>
            <w:pPr>
              <w:pStyle w:val="17"/>
              <w:spacing w:line="400" w:lineRule="exact"/>
              <w:ind w:left="0" w:leftChars="0" w:firstLine="0" w:firstLineChars="0"/>
              <w:rPr>
                <w:rFonts w:hint="eastAsia" w:ascii="宋体" w:hAnsi="宋体"/>
                <w:szCs w:val="21"/>
                <w:lang w:val="en-US" w:eastAsia="zh-CN"/>
              </w:rPr>
            </w:pPr>
            <w:r>
              <w:rPr>
                <w:rFonts w:hint="eastAsia" w:ascii="宋体" w:hAnsi="宋体"/>
                <w:szCs w:val="21"/>
                <w:lang w:val="en-US" w:eastAsia="zh-CN"/>
              </w:rPr>
              <w:t>相关方的需求和期望</w:t>
            </w:r>
          </w:p>
          <w:p>
            <w:pPr>
              <w:spacing w:line="360" w:lineRule="auto"/>
              <w:jc w:val="left"/>
              <w:rPr>
                <w:rFonts w:hint="eastAsia" w:ascii="宋体" w:hAnsi="宋体" w:eastAsia="宋体" w:cs="宋体"/>
                <w:kern w:val="2"/>
                <w:sz w:val="21"/>
                <w:szCs w:val="21"/>
                <w:lang w:val="en-US" w:eastAsia="zh-CN" w:bidi="ar-SA"/>
              </w:rPr>
            </w:pPr>
          </w:p>
        </w:tc>
        <w:tc>
          <w:tcPr>
            <w:tcW w:w="1228" w:type="dxa"/>
            <w:vAlign w:val="center"/>
          </w:tcPr>
          <w:p>
            <w:pPr>
              <w:rPr>
                <w:rFonts w:hint="eastAsia" w:ascii="宋体" w:hAnsi="宋体" w:eastAsia="宋体" w:cs="宋体"/>
                <w:b w:val="0"/>
                <w:bCs/>
                <w:kern w:val="2"/>
                <w:sz w:val="21"/>
                <w:szCs w:val="21"/>
                <w:lang w:val="en-US" w:eastAsia="zh-CN" w:bidi="ar-SA"/>
              </w:rPr>
            </w:pPr>
            <w:r>
              <w:rPr>
                <w:rFonts w:hint="eastAsia" w:ascii="宋体" w:hAnsi="宋体" w:cs="宋体"/>
                <w:b w:val="0"/>
                <w:bCs/>
                <w:sz w:val="21"/>
                <w:szCs w:val="21"/>
              </w:rPr>
              <w:t>Q4.2</w:t>
            </w:r>
          </w:p>
        </w:tc>
        <w:tc>
          <w:tcPr>
            <w:tcW w:w="10943" w:type="dxa"/>
            <w:vAlign w:val="center"/>
          </w:tcPr>
          <w:p>
            <w:pPr>
              <w:pStyle w:val="17"/>
              <w:spacing w:line="400" w:lineRule="exact"/>
              <w:ind w:left="0" w:leftChars="0" w:firstLine="0" w:firstLineChars="0"/>
              <w:rPr>
                <w:rFonts w:hint="eastAsia" w:ascii="宋体" w:hAnsi="宋体"/>
                <w:szCs w:val="21"/>
                <w:lang w:val="en-US" w:eastAsia="zh-CN"/>
              </w:rPr>
            </w:pPr>
            <w:r>
              <w:rPr>
                <w:rFonts w:hint="eastAsia" w:ascii="宋体" w:hAnsi="宋体"/>
                <w:szCs w:val="21"/>
                <w:lang w:val="en-US" w:eastAsia="zh-CN"/>
              </w:rPr>
              <w:t>总经理介绍：</w:t>
            </w:r>
          </w:p>
          <w:p>
            <w:pPr>
              <w:pStyle w:val="17"/>
              <w:spacing w:line="400" w:lineRule="exact"/>
              <w:ind w:left="0" w:leftChars="0" w:firstLine="0" w:firstLineChars="0"/>
              <w:rPr>
                <w:rFonts w:hint="eastAsia" w:ascii="宋体" w:hAnsi="宋体"/>
                <w:szCs w:val="21"/>
                <w:lang w:eastAsia="zh-CN"/>
              </w:rPr>
            </w:pPr>
            <w:r>
              <w:rPr>
                <w:rFonts w:hint="eastAsia" w:ascii="宋体" w:hAnsi="宋体"/>
                <w:szCs w:val="21"/>
                <w:lang w:val="en-US" w:eastAsia="zh-CN"/>
              </w:rPr>
              <w:t xml:space="preserve">    组织通过对自身全面了解，确定其相关方，从</w:t>
            </w:r>
            <w:r>
              <w:rPr>
                <w:rFonts w:hint="eastAsia" w:ascii="宋体" w:hAnsi="宋体"/>
                <w:szCs w:val="21"/>
              </w:rPr>
              <w:t>外部</w:t>
            </w:r>
            <w:r>
              <w:rPr>
                <w:rFonts w:hint="eastAsia" w:ascii="宋体" w:hAnsi="宋体"/>
                <w:szCs w:val="21"/>
                <w:lang w:eastAsia="zh-CN"/>
              </w:rPr>
              <w:t>：</w:t>
            </w:r>
            <w:r>
              <w:rPr>
                <w:rFonts w:hint="eastAsia" w:ascii="宋体" w:hAnsi="宋体"/>
                <w:szCs w:val="21"/>
              </w:rPr>
              <w:t>顾客</w:t>
            </w:r>
            <w:r>
              <w:rPr>
                <w:rFonts w:hint="eastAsia" w:ascii="宋体" w:hAnsi="宋体"/>
                <w:szCs w:val="21"/>
                <w:lang w:eastAsia="zh-CN"/>
              </w:rPr>
              <w:t>、</w:t>
            </w:r>
            <w:r>
              <w:rPr>
                <w:rFonts w:hint="eastAsia" w:ascii="宋体" w:hAnsi="宋体"/>
                <w:szCs w:val="21"/>
              </w:rPr>
              <w:t>供应商</w:t>
            </w:r>
            <w:r>
              <w:rPr>
                <w:rFonts w:hint="eastAsia" w:ascii="宋体" w:hAnsi="宋体"/>
                <w:szCs w:val="21"/>
                <w:lang w:eastAsia="zh-CN"/>
              </w:rPr>
              <w:t>、</w:t>
            </w:r>
            <w:r>
              <w:rPr>
                <w:rFonts w:hint="eastAsia" w:ascii="宋体" w:hAnsi="宋体"/>
                <w:szCs w:val="21"/>
              </w:rPr>
              <w:t>第三方认证服务机构</w:t>
            </w:r>
            <w:r>
              <w:rPr>
                <w:rFonts w:hint="eastAsia" w:ascii="宋体" w:hAnsi="宋体"/>
                <w:szCs w:val="21"/>
                <w:lang w:eastAsia="zh-CN"/>
              </w:rPr>
              <w:t>、</w:t>
            </w:r>
            <w:r>
              <w:rPr>
                <w:rFonts w:hint="eastAsia" w:ascii="宋体" w:hAnsi="宋体"/>
                <w:szCs w:val="21"/>
              </w:rPr>
              <w:t>政府机构</w:t>
            </w:r>
            <w:r>
              <w:rPr>
                <w:rFonts w:hint="eastAsia" w:ascii="宋体" w:hAnsi="宋体"/>
                <w:szCs w:val="21"/>
                <w:lang w:eastAsia="zh-CN"/>
              </w:rPr>
              <w:t>；</w:t>
            </w:r>
            <w:r>
              <w:rPr>
                <w:rFonts w:hint="eastAsia" w:ascii="宋体" w:hAnsi="宋体"/>
                <w:szCs w:val="21"/>
              </w:rPr>
              <w:t>内部</w:t>
            </w:r>
            <w:r>
              <w:rPr>
                <w:rFonts w:hint="eastAsia" w:ascii="宋体" w:hAnsi="宋体"/>
                <w:szCs w:val="21"/>
                <w:lang w:eastAsia="zh-CN"/>
              </w:rPr>
              <w:t>：</w:t>
            </w:r>
            <w:r>
              <w:rPr>
                <w:rFonts w:hint="eastAsia" w:ascii="宋体" w:hAnsi="宋体"/>
                <w:szCs w:val="21"/>
              </w:rPr>
              <w:t>最高管理者</w:t>
            </w:r>
            <w:r>
              <w:rPr>
                <w:rFonts w:hint="eastAsia" w:ascii="宋体" w:hAnsi="宋体"/>
                <w:szCs w:val="21"/>
                <w:lang w:eastAsia="zh-CN"/>
              </w:rPr>
              <w:t>、</w:t>
            </w:r>
            <w:r>
              <w:rPr>
                <w:rFonts w:hint="eastAsia" w:ascii="宋体" w:hAnsi="宋体"/>
                <w:szCs w:val="21"/>
              </w:rPr>
              <w:t>员工</w:t>
            </w:r>
            <w:r>
              <w:rPr>
                <w:rFonts w:hint="eastAsia" w:ascii="宋体" w:hAnsi="宋体"/>
                <w:szCs w:val="21"/>
                <w:lang w:val="en-US" w:eastAsia="zh-CN"/>
              </w:rPr>
              <w:t>等</w:t>
            </w:r>
            <w:r>
              <w:rPr>
                <w:rFonts w:hint="eastAsia" w:ascii="宋体" w:hAnsi="宋体"/>
                <w:szCs w:val="21"/>
              </w:rPr>
              <w:t>要求与期望</w:t>
            </w:r>
            <w:r>
              <w:rPr>
                <w:rFonts w:hint="eastAsia" w:ascii="宋体" w:hAnsi="宋体"/>
                <w:szCs w:val="21"/>
                <w:lang w:eastAsia="zh-CN"/>
              </w:rPr>
              <w:t>、</w:t>
            </w:r>
            <w:r>
              <w:rPr>
                <w:rFonts w:hint="eastAsia" w:ascii="宋体" w:hAnsi="宋体"/>
                <w:szCs w:val="21"/>
              </w:rPr>
              <w:t>监测指标或项目</w:t>
            </w:r>
            <w:r>
              <w:rPr>
                <w:rFonts w:hint="eastAsia" w:ascii="宋体" w:hAnsi="宋体"/>
                <w:szCs w:val="21"/>
                <w:lang w:eastAsia="zh-CN"/>
              </w:rPr>
              <w:t>、</w:t>
            </w:r>
            <w:r>
              <w:rPr>
                <w:rFonts w:hint="eastAsia" w:ascii="宋体" w:hAnsi="宋体"/>
                <w:szCs w:val="21"/>
              </w:rPr>
              <w:t>监测频率</w:t>
            </w:r>
            <w:r>
              <w:rPr>
                <w:rFonts w:hint="eastAsia" w:ascii="宋体" w:hAnsi="宋体"/>
                <w:szCs w:val="21"/>
                <w:lang w:eastAsia="zh-CN"/>
              </w:rPr>
              <w:t>、</w:t>
            </w:r>
            <w:r>
              <w:rPr>
                <w:rFonts w:hint="eastAsia" w:ascii="宋体" w:hAnsi="宋体"/>
                <w:szCs w:val="21"/>
              </w:rPr>
              <w:t>监测部门</w:t>
            </w:r>
            <w:r>
              <w:rPr>
                <w:rFonts w:hint="eastAsia" w:ascii="宋体" w:hAnsi="宋体"/>
                <w:szCs w:val="21"/>
                <w:lang w:eastAsia="zh-CN"/>
              </w:rPr>
              <w:t>。</w:t>
            </w:r>
          </w:p>
          <w:p>
            <w:pPr>
              <w:pStyle w:val="17"/>
              <w:spacing w:line="400" w:lineRule="exact"/>
              <w:ind w:left="0" w:leftChars="0" w:firstLine="0" w:firstLineChars="0"/>
              <w:rPr>
                <w:rFonts w:hint="eastAsia" w:ascii="宋体" w:hAnsi="宋体"/>
                <w:szCs w:val="21"/>
              </w:rPr>
            </w:pPr>
            <w:r>
              <w:rPr>
                <w:rFonts w:hint="eastAsia" w:ascii="宋体" w:hAnsi="宋体"/>
                <w:szCs w:val="21"/>
              </w:rPr>
              <w:t>顾客</w:t>
            </w:r>
            <w:r>
              <w:rPr>
                <w:rFonts w:hint="eastAsia" w:ascii="宋体" w:hAnsi="宋体"/>
                <w:szCs w:val="21"/>
                <w:lang w:val="en-US" w:eastAsia="zh-CN"/>
              </w:rPr>
              <w:t>的需求:产品质量符合顾客要求、及时交货、价格合理等。</w:t>
            </w:r>
            <w:r>
              <w:rPr>
                <w:rFonts w:hint="eastAsia" w:ascii="宋体" w:hAnsi="宋体"/>
                <w:szCs w:val="21"/>
              </w:rPr>
              <w:t>监测指标：单项项目交验合格率、合同履约率、顾客满意度等。</w:t>
            </w:r>
          </w:p>
          <w:p>
            <w:pPr>
              <w:pStyle w:val="17"/>
              <w:spacing w:line="400" w:lineRule="exact"/>
              <w:rPr>
                <w:rFonts w:hint="eastAsia" w:ascii="宋体" w:hAnsi="宋体"/>
                <w:szCs w:val="21"/>
              </w:rPr>
            </w:pPr>
            <w:r>
              <w:rPr>
                <w:rFonts w:hint="eastAsia" w:ascii="宋体" w:hAnsi="宋体"/>
                <w:szCs w:val="21"/>
              </w:rPr>
              <w:t>公司产品质量较好，按顾客要求进行生产，无交付后不合格的情况发生，服务周到及时、价格合理、交货及时，暂无重大客户投诉；</w:t>
            </w:r>
          </w:p>
          <w:p>
            <w:pPr>
              <w:pStyle w:val="17"/>
              <w:spacing w:line="400" w:lineRule="exact"/>
              <w:rPr>
                <w:rFonts w:hint="eastAsia" w:ascii="宋体" w:hAnsi="宋体"/>
                <w:szCs w:val="21"/>
              </w:rPr>
            </w:pPr>
            <w:r>
              <w:rPr>
                <w:rFonts w:hint="eastAsia" w:ascii="宋体" w:hAnsi="宋体"/>
                <w:szCs w:val="21"/>
              </w:rPr>
              <w:t>员工期望薪资、福利增加，提供培训机会。公司生产场所存在噪声、机械伤害、物体打击、高处堕落</w:t>
            </w:r>
            <w:r>
              <w:rPr>
                <w:rFonts w:hint="eastAsia" w:ascii="宋体" w:hAnsi="宋体"/>
                <w:szCs w:val="21"/>
                <w:lang w:eastAsia="zh-CN"/>
              </w:rPr>
              <w:t>、</w:t>
            </w:r>
            <w:r>
              <w:rPr>
                <w:rFonts w:hint="eastAsia" w:ascii="宋体" w:hAnsi="宋体"/>
                <w:szCs w:val="21"/>
                <w:lang w:val="en-US" w:eastAsia="zh-CN"/>
              </w:rPr>
              <w:t>烫伤</w:t>
            </w:r>
            <w:r>
              <w:rPr>
                <w:rFonts w:hint="eastAsia" w:ascii="宋体" w:hAnsi="宋体"/>
                <w:szCs w:val="21"/>
                <w:lang w:eastAsia="zh-CN"/>
              </w:rPr>
              <w:t>，</w:t>
            </w:r>
            <w:r>
              <w:rPr>
                <w:rFonts w:hint="eastAsia" w:ascii="宋体" w:hAnsi="宋体"/>
                <w:szCs w:val="21"/>
              </w:rPr>
              <w:t>给员工定期组织员工体检</w:t>
            </w:r>
            <w:r>
              <w:rPr>
                <w:rFonts w:hint="eastAsia" w:ascii="宋体" w:hAnsi="宋体"/>
                <w:szCs w:val="21"/>
                <w:lang w:eastAsia="zh-CN"/>
              </w:rPr>
              <w:t>、</w:t>
            </w:r>
            <w:r>
              <w:rPr>
                <w:rFonts w:hint="eastAsia" w:ascii="宋体" w:hAnsi="宋体"/>
                <w:szCs w:val="21"/>
              </w:rPr>
              <w:t xml:space="preserve">发放了劳保防护用品。另外工资按时发放等满足的员工的需求。 </w:t>
            </w:r>
          </w:p>
          <w:p>
            <w:pPr>
              <w:pStyle w:val="17"/>
              <w:spacing w:line="360" w:lineRule="auto"/>
              <w:rPr>
                <w:rFonts w:hint="eastAsia" w:ascii="宋体" w:hAnsi="宋体"/>
                <w:szCs w:val="21"/>
              </w:rPr>
            </w:pPr>
            <w:r>
              <w:rPr>
                <w:rFonts w:hint="eastAsia" w:ascii="宋体" w:hAnsi="宋体"/>
                <w:szCs w:val="21"/>
              </w:rPr>
              <w:t>供方期望长期合作、双赢。及时支付供方货款，与供方合作互利等满足了供应商的需求等，同时与供应商进行了信息交流，要求供方在产品生产加工过程中能遵守安全生产法的相关规定，控制好重要环境因素和不可接受风险；基本满足相关方的需求和期望。</w:t>
            </w:r>
          </w:p>
          <w:p>
            <w:pPr>
              <w:pStyle w:val="17"/>
              <w:spacing w:line="360" w:lineRule="auto"/>
              <w:rPr>
                <w:rFonts w:hint="eastAsia" w:ascii="宋体" w:hAnsi="宋体"/>
                <w:szCs w:val="21"/>
              </w:rPr>
            </w:pPr>
            <w:r>
              <w:rPr>
                <w:rFonts w:hint="eastAsia" w:ascii="宋体" w:hAnsi="宋体"/>
                <w:szCs w:val="21"/>
              </w:rPr>
              <w:t>公司产品质量较好，按顾客要求进行生产，</w:t>
            </w:r>
            <w:r>
              <w:rPr>
                <w:rFonts w:hint="eastAsia" w:ascii="宋体" w:hAnsi="宋体"/>
                <w:szCs w:val="21"/>
                <w:lang w:val="en-US" w:eastAsia="zh-CN"/>
              </w:rPr>
              <w:t>模具、原材料由顾客提供，</w:t>
            </w:r>
            <w:r>
              <w:rPr>
                <w:rFonts w:hint="eastAsia" w:ascii="宋体" w:hAnsi="宋体"/>
                <w:szCs w:val="21"/>
              </w:rPr>
              <w:t>无交付后不合格的情况发生，服务周到及时、价格合理、交货及时，暂无重大客户投诉；</w:t>
            </w:r>
          </w:p>
          <w:p>
            <w:pPr>
              <w:pStyle w:val="17"/>
              <w:spacing w:line="360" w:lineRule="auto"/>
              <w:rPr>
                <w:rFonts w:hint="eastAsia" w:ascii="宋体" w:hAnsi="宋体"/>
                <w:szCs w:val="21"/>
              </w:rPr>
            </w:pPr>
            <w:r>
              <w:rPr>
                <w:rFonts w:hint="eastAsia" w:ascii="宋体" w:hAnsi="宋体"/>
                <w:szCs w:val="21"/>
              </w:rPr>
              <w:t>员工期望薪资、福利增加，提供培训机会。公司生产场所存在噪声、机械伤害、物体打击、高处堕落</w:t>
            </w:r>
            <w:r>
              <w:rPr>
                <w:rFonts w:hint="eastAsia" w:ascii="宋体" w:hAnsi="宋体"/>
                <w:szCs w:val="21"/>
                <w:lang w:eastAsia="zh-CN"/>
              </w:rPr>
              <w:t>，</w:t>
            </w:r>
            <w:r>
              <w:rPr>
                <w:rFonts w:hint="eastAsia" w:ascii="宋体" w:hAnsi="宋体"/>
                <w:szCs w:val="21"/>
              </w:rPr>
              <w:t>给员工定期组织员工体检</w:t>
            </w:r>
            <w:r>
              <w:rPr>
                <w:rFonts w:hint="eastAsia" w:ascii="宋体" w:hAnsi="宋体"/>
                <w:szCs w:val="21"/>
                <w:lang w:eastAsia="zh-CN"/>
              </w:rPr>
              <w:t>、</w:t>
            </w:r>
            <w:r>
              <w:rPr>
                <w:rFonts w:hint="eastAsia" w:ascii="宋体" w:hAnsi="宋体"/>
                <w:szCs w:val="21"/>
              </w:rPr>
              <w:t xml:space="preserve">发放了劳保手套、口罩、耳塞等防护用品。另外工资按时发放等满足的员工的需求。 </w:t>
            </w:r>
          </w:p>
          <w:p>
            <w:pPr>
              <w:pStyle w:val="17"/>
              <w:spacing w:line="360" w:lineRule="auto"/>
              <w:ind w:firstLine="420" w:firstLineChars="200"/>
              <w:rPr>
                <w:rFonts w:hint="eastAsia" w:ascii="宋体" w:hAnsi="宋体" w:eastAsia="宋体" w:cs="宋体"/>
                <w:color w:val="000000"/>
                <w:kern w:val="2"/>
                <w:sz w:val="21"/>
                <w:szCs w:val="21"/>
                <w:lang w:val="en-US" w:eastAsia="zh-CN" w:bidi="ar-SA"/>
              </w:rPr>
            </w:pPr>
            <w:r>
              <w:rPr>
                <w:rFonts w:hint="eastAsia" w:ascii="宋体" w:hAnsi="宋体"/>
                <w:szCs w:val="21"/>
              </w:rPr>
              <w:t>供方期望长期合作、双赢。及时支付供方货款，与供方合作互利等满足了供应商的需求等，同时与供应商进行了信息交流，要求供方在产品生产加工过程中能遵守安全生产法的相关规定，控制好重要环境因素和不可接受风险；基本满足相关方的需求和期望。</w:t>
            </w:r>
          </w:p>
        </w:tc>
        <w:tc>
          <w:tcPr>
            <w:tcW w:w="646"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892" w:type="dxa"/>
            <w:vAlign w:val="center"/>
          </w:tcPr>
          <w:p>
            <w:pPr>
              <w:spacing w:line="360" w:lineRule="auto"/>
              <w:jc w:val="left"/>
              <w:rPr>
                <w:rFonts w:hint="eastAsia" w:ascii="宋体" w:hAnsi="宋体" w:eastAsia="宋体" w:cs="宋体"/>
                <w:color w:val="000000"/>
                <w:spacing w:val="-4"/>
                <w:kern w:val="2"/>
                <w:sz w:val="21"/>
                <w:szCs w:val="21"/>
                <w:lang w:val="en-US" w:eastAsia="zh-CN" w:bidi="ar-SA"/>
              </w:rPr>
            </w:pPr>
            <w:r>
              <w:rPr>
                <w:rFonts w:hint="eastAsia" w:ascii="宋体" w:hAnsi="宋体" w:cs="宋体"/>
                <w:color w:val="000000"/>
                <w:sz w:val="21"/>
                <w:szCs w:val="21"/>
              </w:rPr>
              <w:t>管理体系及其过程、文件</w:t>
            </w:r>
          </w:p>
        </w:tc>
        <w:tc>
          <w:tcPr>
            <w:tcW w:w="1228" w:type="dxa"/>
            <w:vAlign w:val="center"/>
          </w:tcPr>
          <w:p>
            <w:pPr>
              <w:snapToGrid w:val="0"/>
              <w:spacing w:line="360" w:lineRule="auto"/>
              <w:rPr>
                <w:rFonts w:hint="eastAsia" w:ascii="宋体" w:hAnsi="宋体" w:cs="宋体"/>
                <w:color w:val="000000"/>
                <w:sz w:val="21"/>
                <w:szCs w:val="21"/>
              </w:rPr>
            </w:pPr>
            <w:r>
              <w:rPr>
                <w:rFonts w:hint="eastAsia" w:ascii="宋体" w:hAnsi="宋体" w:cs="宋体"/>
                <w:color w:val="000000"/>
                <w:sz w:val="21"/>
                <w:szCs w:val="21"/>
              </w:rPr>
              <w:t>Q4.4</w:t>
            </w:r>
          </w:p>
          <w:p>
            <w:pPr>
              <w:snapToGrid w:val="0"/>
              <w:spacing w:line="360" w:lineRule="auto"/>
              <w:rPr>
                <w:rFonts w:hint="eastAsia" w:ascii="宋体" w:hAnsi="宋体" w:eastAsia="宋体" w:cs="宋体"/>
                <w:b/>
                <w:kern w:val="2"/>
                <w:sz w:val="21"/>
                <w:szCs w:val="21"/>
                <w:lang w:val="en-US" w:eastAsia="zh-CN" w:bidi="ar-SA"/>
              </w:rPr>
            </w:pPr>
            <w:r>
              <w:rPr>
                <w:rFonts w:hint="eastAsia" w:ascii="宋体" w:hAnsi="宋体" w:cs="宋体"/>
                <w:color w:val="000000"/>
                <w:sz w:val="21"/>
                <w:szCs w:val="21"/>
              </w:rPr>
              <w:t>S4.4.4</w:t>
            </w:r>
          </w:p>
        </w:tc>
        <w:tc>
          <w:tcPr>
            <w:tcW w:w="10943" w:type="dxa"/>
            <w:vAlign w:val="center"/>
          </w:tcPr>
          <w:p>
            <w:pPr>
              <w:snapToGrid w:val="0"/>
              <w:spacing w:line="360" w:lineRule="auto"/>
              <w:rPr>
                <w:rFonts w:hint="eastAsia" w:ascii="宋体" w:hAnsi="宋体" w:cs="宋体"/>
                <w:color w:val="000000"/>
                <w:sz w:val="21"/>
                <w:szCs w:val="21"/>
              </w:rPr>
            </w:pPr>
            <w:r>
              <w:rPr>
                <w:rFonts w:hint="eastAsia" w:ascii="宋体" w:hAnsi="宋体" w:cs="宋体"/>
                <w:color w:val="000000"/>
                <w:sz w:val="21"/>
                <w:szCs w:val="21"/>
              </w:rPr>
              <w:t>依据GB/T9001</w:t>
            </w:r>
            <w:r>
              <w:rPr>
                <w:rFonts w:hint="eastAsia" w:ascii="宋体" w:hAnsi="宋体" w:cs="宋体"/>
                <w:color w:val="000000"/>
                <w:sz w:val="21"/>
                <w:szCs w:val="21"/>
                <w:lang w:val="en-US" w:eastAsia="zh-CN"/>
              </w:rPr>
              <w:t>-</w:t>
            </w:r>
            <w:r>
              <w:rPr>
                <w:rFonts w:hint="eastAsia" w:ascii="宋体" w:hAnsi="宋体" w:cs="宋体"/>
                <w:color w:val="000000"/>
                <w:sz w:val="21"/>
                <w:szCs w:val="21"/>
              </w:rPr>
              <w:t>201</w:t>
            </w:r>
            <w:r>
              <w:rPr>
                <w:rFonts w:hint="eastAsia" w:ascii="宋体" w:hAnsi="宋体" w:cs="宋体"/>
                <w:color w:val="000000"/>
                <w:sz w:val="21"/>
                <w:szCs w:val="21"/>
                <w:lang w:val="en-US" w:eastAsia="zh-CN"/>
              </w:rPr>
              <w:t>6</w:t>
            </w:r>
            <w:r>
              <w:rPr>
                <w:rFonts w:hint="eastAsia" w:ascii="宋体" w:hAnsi="宋体" w:cs="宋体"/>
                <w:color w:val="000000"/>
                <w:sz w:val="21"/>
                <w:szCs w:val="21"/>
              </w:rPr>
              <w:t>《质量管理体系 要求》和GB/T28001-2011《职业健康安全管理体系  要求》标准的要求，编制了</w:t>
            </w:r>
            <w:r>
              <w:rPr>
                <w:rFonts w:hint="eastAsia" w:ascii="宋体" w:hAnsi="宋体" w:cs="宋体"/>
                <w:color w:val="000000"/>
                <w:sz w:val="21"/>
                <w:szCs w:val="21"/>
                <w:lang w:eastAsia="zh-CN"/>
              </w:rPr>
              <w:t>《文件和记录控制程序》</w:t>
            </w:r>
            <w:r>
              <w:rPr>
                <w:rFonts w:hint="eastAsia" w:ascii="宋体" w:hAnsi="宋体" w:cs="宋体"/>
                <w:color w:val="000000"/>
                <w:sz w:val="21"/>
                <w:szCs w:val="21"/>
              </w:rPr>
              <w:t>对文件信息的编制、标识、格式、审核、批准以及文件信息的分发、存储、防护、保留和处置等方面均做出了规定。</w:t>
            </w:r>
          </w:p>
          <w:p>
            <w:pPr>
              <w:snapToGrid w:val="0"/>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lang w:val="en-US" w:eastAsia="zh-CN"/>
              </w:rPr>
              <w:t>企业</w:t>
            </w:r>
            <w:r>
              <w:rPr>
                <w:rFonts w:hint="eastAsia" w:ascii="宋体" w:hAnsi="宋体" w:cs="宋体"/>
                <w:color w:val="000000"/>
                <w:sz w:val="21"/>
                <w:szCs w:val="21"/>
              </w:rPr>
              <w:t>建立、实施</w:t>
            </w:r>
            <w:r>
              <w:rPr>
                <w:rFonts w:hint="eastAsia" w:ascii="宋体" w:hAnsi="宋体" w:cs="宋体"/>
                <w:color w:val="000000"/>
                <w:sz w:val="21"/>
                <w:szCs w:val="21"/>
                <w:lang w:val="en-US" w:eastAsia="zh-CN"/>
              </w:rPr>
              <w:t>的</w:t>
            </w:r>
            <w:r>
              <w:rPr>
                <w:rFonts w:hint="eastAsia" w:ascii="宋体" w:hAnsi="宋体" w:cs="宋体"/>
                <w:color w:val="000000"/>
                <w:sz w:val="21"/>
                <w:szCs w:val="21"/>
              </w:rPr>
              <w:t>管理手册、程序文件、三级文件，文件中包括了QS方针、目标, 对各部门的职责权限作出了规定，公司管理体系已确定了过程、各过程的顺序、过程的评价、实施所需的变更等，并能规定过程及质量管理体系监视、测量、分析、改进的职责权限分配等策划，同时考虑了内外部因素和相关方的要求，确定了需应对的风险和机遇。</w:t>
            </w:r>
            <w:r>
              <w:rPr>
                <w:rFonts w:hint="eastAsia" w:ascii="宋体" w:hAnsi="宋体" w:cs="宋体"/>
                <w:sz w:val="21"/>
                <w:szCs w:val="21"/>
              </w:rPr>
              <w:t>公司外包过程：对于公司的外包过程进行了充分识别，就</w:t>
            </w:r>
            <w:r>
              <w:rPr>
                <w:rFonts w:hint="eastAsia" w:ascii="宋体" w:hAnsi="宋体" w:cs="宋体"/>
                <w:color w:val="000000"/>
                <w:sz w:val="21"/>
                <w:szCs w:val="21"/>
              </w:rPr>
              <w:t>公司目前生产运营情况，无外包过程。</w:t>
            </w:r>
          </w:p>
          <w:p>
            <w:pPr>
              <w:snapToGrid w:val="0"/>
              <w:spacing w:line="360" w:lineRule="auto"/>
              <w:ind w:firstLine="420" w:firstLineChars="200"/>
              <w:rPr>
                <w:rFonts w:hint="eastAsia" w:ascii="宋体" w:hAnsi="宋体" w:eastAsia="宋体" w:cs="宋体"/>
                <w:color w:val="000000"/>
                <w:kern w:val="2"/>
                <w:sz w:val="21"/>
                <w:szCs w:val="21"/>
                <w:lang w:val="en-US" w:eastAsia="zh-CN" w:bidi="ar-SA"/>
              </w:rPr>
            </w:pPr>
            <w:r>
              <w:rPr>
                <w:rFonts w:hint="eastAsia" w:ascii="宋体" w:hAnsi="宋体" w:cs="宋体"/>
                <w:color w:val="000000"/>
                <w:sz w:val="21"/>
                <w:szCs w:val="21"/>
              </w:rPr>
              <w:t>公司文件适宜，符合公司规模、人员能力、过程及其相互作用的复杂程度。基本符合标准要求。</w:t>
            </w:r>
          </w:p>
        </w:tc>
        <w:tc>
          <w:tcPr>
            <w:tcW w:w="646"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892" w:type="dxa"/>
            <w:vAlign w:val="center"/>
          </w:tcPr>
          <w:p>
            <w:pPr>
              <w:spacing w:line="440" w:lineRule="exact"/>
              <w:jc w:val="both"/>
              <w:rPr>
                <w:rFonts w:hint="eastAsia" w:ascii="仿宋" w:hAnsi="仿宋" w:eastAsia="仿宋"/>
                <w:sz w:val="24"/>
                <w:szCs w:val="24"/>
              </w:rPr>
            </w:pPr>
          </w:p>
          <w:p>
            <w:pPr>
              <w:spacing w:line="440" w:lineRule="exact"/>
              <w:jc w:val="both"/>
              <w:rPr>
                <w:rFonts w:ascii="仿宋" w:hAnsi="仿宋" w:eastAsia="仿宋"/>
                <w:sz w:val="24"/>
                <w:szCs w:val="24"/>
              </w:rPr>
            </w:pPr>
            <w:r>
              <w:rPr>
                <w:rFonts w:hint="eastAsia" w:ascii="仿宋" w:hAnsi="仿宋" w:eastAsia="仿宋"/>
                <w:sz w:val="24"/>
                <w:szCs w:val="24"/>
              </w:rPr>
              <w:t>领导作用及承诺</w:t>
            </w:r>
          </w:p>
          <w:p>
            <w:pPr>
              <w:spacing w:line="360" w:lineRule="auto"/>
              <w:jc w:val="left"/>
              <w:rPr>
                <w:rFonts w:hint="eastAsia" w:ascii="宋体" w:hAnsi="宋体" w:eastAsia="宋体" w:cs="宋体"/>
                <w:color w:val="000000"/>
                <w:spacing w:val="-4"/>
                <w:kern w:val="2"/>
                <w:sz w:val="21"/>
                <w:szCs w:val="21"/>
                <w:lang w:val="en-US" w:eastAsia="zh-CN" w:bidi="ar-SA"/>
              </w:rPr>
            </w:pPr>
          </w:p>
        </w:tc>
        <w:tc>
          <w:tcPr>
            <w:tcW w:w="1228" w:type="dxa"/>
            <w:vAlign w:val="center"/>
          </w:tcPr>
          <w:p>
            <w:pPr>
              <w:rPr>
                <w:rFonts w:hint="eastAsia" w:ascii="宋体" w:hAnsi="宋体" w:eastAsia="宋体" w:cs="宋体"/>
                <w:b/>
                <w:kern w:val="2"/>
                <w:sz w:val="21"/>
                <w:szCs w:val="21"/>
                <w:lang w:val="en-US" w:eastAsia="zh-CN" w:bidi="ar-SA"/>
              </w:rPr>
            </w:pPr>
            <w:r>
              <w:rPr>
                <w:rFonts w:hint="eastAsia" w:ascii="宋体" w:hAnsi="宋体" w:cs="宋体"/>
                <w:color w:val="000000"/>
                <w:spacing w:val="-4"/>
                <w:sz w:val="21"/>
                <w:szCs w:val="21"/>
              </w:rPr>
              <w:t>Q5.1</w:t>
            </w:r>
          </w:p>
        </w:tc>
        <w:tc>
          <w:tcPr>
            <w:tcW w:w="10943" w:type="dxa"/>
            <w:vAlign w:val="center"/>
          </w:tcPr>
          <w:p>
            <w:pPr>
              <w:snapToGrid w:val="0"/>
              <w:spacing w:line="360" w:lineRule="auto"/>
              <w:rPr>
                <w:rFonts w:hint="eastAsia" w:ascii="宋体" w:hAnsi="宋体" w:cs="宋体"/>
                <w:color w:val="000000"/>
                <w:sz w:val="21"/>
                <w:szCs w:val="21"/>
              </w:rPr>
            </w:pPr>
            <w:r>
              <w:rPr>
                <w:rFonts w:hint="eastAsia"/>
              </w:rPr>
              <w:t>总经理</w:t>
            </w:r>
            <w:r>
              <w:rPr>
                <w:rFonts w:hint="eastAsia"/>
                <w:lang w:val="en-US" w:eastAsia="zh-CN"/>
              </w:rPr>
              <w:t xml:space="preserve">:王建峰       </w:t>
            </w:r>
            <w:r>
              <w:rPr>
                <w:rFonts w:hint="eastAsia"/>
              </w:rPr>
              <w:t>管代：</w:t>
            </w:r>
            <w:r>
              <w:rPr>
                <w:rFonts w:hint="eastAsia" w:ascii="宋体" w:hAnsi="宋体"/>
                <w:szCs w:val="21"/>
                <w:lang w:val="en-US" w:eastAsia="zh-CN"/>
              </w:rPr>
              <w:t>朱卫平</w:t>
            </w:r>
            <w:r>
              <w:rPr>
                <w:rFonts w:hint="eastAsia" w:ascii="宋体" w:hAnsi="宋体"/>
                <w:bCs/>
                <w:szCs w:val="21"/>
              </w:rPr>
              <w:t xml:space="preserve"> </w:t>
            </w:r>
          </w:p>
          <w:p>
            <w:pPr>
              <w:snapToGrid w:val="0"/>
              <w:spacing w:line="360" w:lineRule="auto"/>
              <w:rPr>
                <w:rFonts w:hint="eastAsia" w:ascii="宋体" w:hAnsi="宋体" w:cs="宋体"/>
                <w:color w:val="000000"/>
                <w:sz w:val="21"/>
                <w:szCs w:val="21"/>
              </w:rPr>
            </w:pPr>
            <w:r>
              <w:rPr>
                <w:rFonts w:hint="eastAsia" w:ascii="宋体" w:hAnsi="宋体" w:cs="宋体"/>
                <w:color w:val="000000"/>
                <w:sz w:val="21"/>
                <w:szCs w:val="21"/>
              </w:rPr>
              <w:t>公司总经理介绍通过以下方面证实其对质量管理体系的领导作用与承诺：公司总经理组织公司相关人员并制定了质量方针和质量目标，并与组织环境相一致，与组织的战略方向一致。</w:t>
            </w:r>
          </w:p>
          <w:p>
            <w:pPr>
              <w:snapToGrid w:val="0"/>
              <w:spacing w:line="360" w:lineRule="auto"/>
              <w:rPr>
                <w:rFonts w:hint="eastAsia" w:ascii="宋体" w:hAnsi="宋体" w:cs="宋体"/>
                <w:color w:val="000000"/>
                <w:sz w:val="21"/>
                <w:szCs w:val="21"/>
              </w:rPr>
            </w:pPr>
            <w:r>
              <w:rPr>
                <w:rFonts w:hint="eastAsia" w:ascii="宋体" w:hAnsi="宋体" w:cs="宋体"/>
                <w:color w:val="000000"/>
                <w:sz w:val="21"/>
                <w:szCs w:val="21"/>
              </w:rPr>
              <w:t>利用会议、培训</w:t>
            </w:r>
            <w:r>
              <w:rPr>
                <w:rFonts w:hint="eastAsia" w:ascii="宋体" w:hAnsi="宋体" w:cs="宋体"/>
                <w:color w:val="000000"/>
                <w:sz w:val="21"/>
                <w:szCs w:val="21"/>
                <w:lang w:eastAsia="zh-CN"/>
              </w:rPr>
              <w:t>、</w:t>
            </w:r>
            <w:r>
              <w:rPr>
                <w:rFonts w:hint="eastAsia" w:ascii="宋体" w:hAnsi="宋体" w:cs="宋体"/>
                <w:color w:val="000000"/>
                <w:sz w:val="21"/>
                <w:szCs w:val="21"/>
                <w:lang w:val="en-US" w:eastAsia="zh-CN"/>
              </w:rPr>
              <w:t>展板</w:t>
            </w:r>
            <w:r>
              <w:rPr>
                <w:rFonts w:hint="eastAsia" w:ascii="宋体" w:hAnsi="宋体" w:cs="宋体"/>
                <w:color w:val="000000"/>
                <w:sz w:val="21"/>
                <w:szCs w:val="21"/>
              </w:rPr>
              <w:t>等方式，对全体员工进行了法律法规的学习、意识的培训。从而提高了员工的法律意识、以顾客为中心的意识。</w:t>
            </w:r>
          </w:p>
          <w:p>
            <w:pPr>
              <w:snapToGrid w:val="0"/>
              <w:spacing w:line="360" w:lineRule="auto"/>
              <w:rPr>
                <w:rFonts w:hint="eastAsia" w:ascii="宋体" w:hAnsi="宋体" w:cs="宋体"/>
                <w:color w:val="000000"/>
                <w:sz w:val="21"/>
                <w:szCs w:val="21"/>
              </w:rPr>
            </w:pPr>
            <w:r>
              <w:rPr>
                <w:rFonts w:hint="eastAsia" w:ascii="宋体" w:hAnsi="宋体" w:cs="宋体"/>
                <w:color w:val="000000"/>
                <w:sz w:val="21"/>
                <w:szCs w:val="21"/>
              </w:rPr>
              <w:t>根据总经理的谈话沟通，组织的质量管理体系要求已渐渐融入组织的业务过程中。</w:t>
            </w:r>
          </w:p>
          <w:p>
            <w:pPr>
              <w:snapToGrid w:val="0"/>
              <w:spacing w:line="360" w:lineRule="auto"/>
              <w:rPr>
                <w:rFonts w:hint="eastAsia" w:ascii="宋体" w:hAnsi="宋体" w:cs="宋体"/>
                <w:color w:val="000000"/>
                <w:sz w:val="21"/>
                <w:szCs w:val="21"/>
              </w:rPr>
            </w:pPr>
            <w:r>
              <w:rPr>
                <w:rFonts w:hint="eastAsia" w:ascii="宋体" w:hAnsi="宋体" w:cs="宋体"/>
                <w:color w:val="000000"/>
                <w:sz w:val="21"/>
                <w:szCs w:val="21"/>
              </w:rPr>
              <w:t>组织已使用过程方法和基于风险的思维进行体系的运行。</w:t>
            </w:r>
          </w:p>
          <w:p>
            <w:pPr>
              <w:snapToGrid w:val="0"/>
              <w:spacing w:line="360" w:lineRule="auto"/>
              <w:rPr>
                <w:rFonts w:hint="eastAsia" w:ascii="宋体" w:hAnsi="宋体" w:eastAsia="宋体" w:cs="宋体"/>
                <w:kern w:val="2"/>
                <w:sz w:val="21"/>
                <w:szCs w:val="21"/>
                <w:lang w:val="en-US" w:eastAsia="zh-CN" w:bidi="ar-SA"/>
              </w:rPr>
            </w:pPr>
            <w:r>
              <w:rPr>
                <w:rFonts w:hint="eastAsia" w:ascii="宋体" w:hAnsi="宋体" w:cs="宋体"/>
                <w:color w:val="000000"/>
                <w:sz w:val="21"/>
                <w:szCs w:val="21"/>
              </w:rPr>
              <w:t>最高管理者针对体系的运行，提供了所需的资源。向全公司强调遵守法律法规、质量管理、符合质量管理体系的要求及达到顾客满意的重要性。</w:t>
            </w:r>
            <w:r>
              <w:rPr>
                <w:rFonts w:hint="eastAsia" w:ascii="宋体" w:hAnsi="宋体" w:cs="宋体"/>
                <w:sz w:val="21"/>
                <w:szCs w:val="21"/>
              </w:rPr>
              <w:t>形成制度化，把质量目标进行层层分解落实到各部门</w:t>
            </w:r>
            <w:r>
              <w:rPr>
                <w:rFonts w:hint="eastAsia" w:ascii="宋体" w:hAnsi="宋体" w:cs="宋体"/>
                <w:sz w:val="21"/>
                <w:szCs w:val="21"/>
                <w:lang w:eastAsia="zh-CN"/>
              </w:rPr>
              <w:t>。</w:t>
            </w:r>
          </w:p>
        </w:tc>
        <w:tc>
          <w:tcPr>
            <w:tcW w:w="646"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892" w:type="dxa"/>
            <w:vAlign w:val="center"/>
          </w:tcPr>
          <w:p>
            <w:pPr>
              <w:spacing w:line="360" w:lineRule="auto"/>
              <w:rPr>
                <w:rFonts w:hint="eastAsia" w:ascii="宋体" w:hAnsi="宋体" w:cs="宋体"/>
                <w:color w:val="000000"/>
                <w:sz w:val="21"/>
                <w:szCs w:val="21"/>
              </w:rPr>
            </w:pPr>
            <w:r>
              <w:rPr>
                <w:rFonts w:hint="eastAsia" w:ascii="宋体" w:hAnsi="宋体" w:cs="宋体"/>
                <w:color w:val="000000"/>
                <w:sz w:val="21"/>
                <w:szCs w:val="21"/>
              </w:rPr>
              <w:t>以顾客为关注焦点</w:t>
            </w:r>
          </w:p>
          <w:p>
            <w:pPr>
              <w:spacing w:line="360" w:lineRule="auto"/>
              <w:jc w:val="left"/>
              <w:rPr>
                <w:rFonts w:hint="eastAsia" w:ascii="宋体" w:hAnsi="宋体" w:eastAsia="宋体" w:cs="宋体"/>
                <w:color w:val="000000"/>
                <w:spacing w:val="-4"/>
                <w:kern w:val="2"/>
                <w:sz w:val="21"/>
                <w:szCs w:val="21"/>
                <w:lang w:val="en-US" w:eastAsia="zh-CN" w:bidi="ar-SA"/>
              </w:rPr>
            </w:pPr>
          </w:p>
        </w:tc>
        <w:tc>
          <w:tcPr>
            <w:tcW w:w="1228" w:type="dxa"/>
            <w:vAlign w:val="center"/>
          </w:tcPr>
          <w:p>
            <w:pPr>
              <w:rPr>
                <w:rFonts w:hint="eastAsia" w:ascii="宋体" w:hAnsi="宋体" w:eastAsia="宋体" w:cs="宋体"/>
                <w:b/>
                <w:kern w:val="2"/>
                <w:sz w:val="21"/>
                <w:szCs w:val="21"/>
                <w:lang w:val="en-US" w:eastAsia="zh-CN" w:bidi="ar-SA"/>
              </w:rPr>
            </w:pPr>
            <w:r>
              <w:rPr>
                <w:rFonts w:hint="eastAsia" w:ascii="宋体" w:hAnsi="宋体" w:cs="宋体"/>
                <w:color w:val="000000"/>
                <w:spacing w:val="-4"/>
                <w:sz w:val="21"/>
                <w:szCs w:val="21"/>
              </w:rPr>
              <w:t>Q5.1.2</w:t>
            </w:r>
          </w:p>
        </w:tc>
        <w:tc>
          <w:tcPr>
            <w:tcW w:w="10943" w:type="dxa"/>
            <w:vAlign w:val="center"/>
          </w:tcPr>
          <w:p>
            <w:pPr>
              <w:snapToGrid w:val="0"/>
              <w:spacing w:line="360" w:lineRule="auto"/>
              <w:rPr>
                <w:rFonts w:hint="eastAsia"/>
              </w:rPr>
            </w:pPr>
            <w:r>
              <w:rPr>
                <w:rFonts w:hint="eastAsia"/>
              </w:rPr>
              <w:t>公司从业务咨询、方案制定、工期管理、交付等各个环节注重培养员工顾客满意的意识，领导对顾客满意比较关注，认识到没有顾客就没有公司的市场。</w:t>
            </w:r>
          </w:p>
          <w:p>
            <w:pPr>
              <w:snapToGrid w:val="0"/>
              <w:spacing w:line="360" w:lineRule="auto"/>
              <w:rPr>
                <w:rFonts w:hint="eastAsia"/>
              </w:rPr>
            </w:pPr>
            <w:r>
              <w:rPr>
                <w:rFonts w:hint="eastAsia"/>
              </w:rPr>
              <w:t>公司在</w:t>
            </w:r>
            <w:r>
              <w:rPr>
                <w:rFonts w:hint="eastAsia"/>
                <w:lang w:val="en-US" w:eastAsia="zh-CN"/>
              </w:rPr>
              <w:t>每年</w:t>
            </w:r>
            <w:r>
              <w:rPr>
                <w:rFonts w:hint="eastAsia"/>
              </w:rPr>
              <w:t>，都进行评审，以确保能准确地确认客户的要求；同时跟踪相关法律法规及要求，要求每年制定满意度调查的计划，并按计划进行调查。</w:t>
            </w:r>
          </w:p>
          <w:p>
            <w:pPr>
              <w:snapToGrid w:val="0"/>
              <w:spacing w:line="360" w:lineRule="auto"/>
              <w:rPr>
                <w:rFonts w:hint="eastAsia" w:ascii="宋体" w:hAnsi="宋体" w:eastAsia="宋体" w:cs="宋体"/>
                <w:kern w:val="2"/>
                <w:sz w:val="21"/>
                <w:szCs w:val="21"/>
                <w:lang w:val="en-US" w:eastAsia="zh-CN" w:bidi="ar-SA"/>
              </w:rPr>
            </w:pPr>
            <w:r>
              <w:rPr>
                <w:rFonts w:hint="eastAsia"/>
              </w:rPr>
              <w:t>公司要求每</w:t>
            </w:r>
            <w:r>
              <w:rPr>
                <w:rFonts w:hint="eastAsia"/>
                <w:lang w:val="en-US" w:eastAsia="zh-CN"/>
              </w:rPr>
              <w:t>季度顾客</w:t>
            </w:r>
            <w:r>
              <w:rPr>
                <w:rFonts w:hint="eastAsia"/>
              </w:rPr>
              <w:t>进行</w:t>
            </w:r>
            <w:r>
              <w:rPr>
                <w:rFonts w:hint="eastAsia"/>
                <w:lang w:eastAsia="zh-CN"/>
              </w:rPr>
              <w:t>《</w:t>
            </w:r>
            <w:r>
              <w:rPr>
                <w:rFonts w:hint="eastAsia"/>
                <w:lang w:val="en-US" w:eastAsia="zh-CN"/>
              </w:rPr>
              <w:t>供方业绩评估表</w:t>
            </w:r>
            <w:r>
              <w:rPr>
                <w:rFonts w:hint="eastAsia"/>
                <w:lang w:eastAsia="zh-CN"/>
              </w:rPr>
              <w:t>》，</w:t>
            </w:r>
            <w:r>
              <w:rPr>
                <w:rFonts w:hint="eastAsia"/>
                <w:lang w:val="en-US" w:eastAsia="zh-CN"/>
              </w:rPr>
              <w:t>对质量情况、交货期情况等方面，进行评分，2019.12月统计</w:t>
            </w:r>
            <w:r>
              <w:rPr>
                <w:rFonts w:hint="eastAsia"/>
              </w:rPr>
              <w:t>顾客满意度</w:t>
            </w:r>
            <w:r>
              <w:rPr>
                <w:rFonts w:hint="eastAsia"/>
                <w:lang w:val="en-US" w:eastAsia="zh-CN"/>
              </w:rPr>
              <w:t>98分，</w:t>
            </w:r>
            <w:r>
              <w:rPr>
                <w:rFonts w:hint="eastAsia"/>
              </w:rPr>
              <w:t>以获取顾客对公司</w:t>
            </w:r>
            <w:r>
              <w:rPr>
                <w:rFonts w:hint="eastAsia"/>
                <w:lang w:val="en-US" w:eastAsia="zh-CN"/>
              </w:rPr>
              <w:t>产品</w:t>
            </w:r>
            <w:r>
              <w:rPr>
                <w:rFonts w:hint="eastAsia"/>
              </w:rPr>
              <w:t>及服务的满意程度信息，用以改进企业的质量或服务。</w:t>
            </w:r>
          </w:p>
        </w:tc>
        <w:tc>
          <w:tcPr>
            <w:tcW w:w="646"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892" w:type="dxa"/>
            <w:vAlign w:val="center"/>
          </w:tcPr>
          <w:p>
            <w:pPr>
              <w:spacing w:line="360" w:lineRule="auto"/>
              <w:jc w:val="left"/>
              <w:rPr>
                <w:rFonts w:hint="eastAsia" w:ascii="宋体" w:hAnsi="宋体" w:eastAsia="宋体" w:cs="宋体"/>
                <w:color w:val="000000"/>
                <w:spacing w:val="-4"/>
                <w:kern w:val="2"/>
                <w:sz w:val="21"/>
                <w:szCs w:val="21"/>
                <w:lang w:val="en-US" w:eastAsia="zh-CN" w:bidi="ar-SA"/>
              </w:rPr>
            </w:pPr>
            <w:r>
              <w:rPr>
                <w:rFonts w:hint="eastAsia" w:ascii="宋体" w:hAnsi="宋体" w:cs="宋体"/>
                <w:color w:val="000000"/>
                <w:spacing w:val="-4"/>
                <w:sz w:val="21"/>
                <w:szCs w:val="21"/>
              </w:rPr>
              <w:t>质量、职业健康安全方针的制定及沟通</w:t>
            </w:r>
          </w:p>
        </w:tc>
        <w:tc>
          <w:tcPr>
            <w:tcW w:w="1228" w:type="dxa"/>
            <w:vAlign w:val="center"/>
          </w:tcPr>
          <w:p>
            <w:pPr>
              <w:spacing w:line="360" w:lineRule="auto"/>
              <w:jc w:val="left"/>
              <w:rPr>
                <w:rFonts w:hint="eastAsia" w:ascii="宋体" w:hAnsi="宋体" w:cs="宋体"/>
                <w:color w:val="000000"/>
                <w:spacing w:val="-4"/>
                <w:sz w:val="21"/>
                <w:szCs w:val="21"/>
              </w:rPr>
            </w:pPr>
            <w:r>
              <w:rPr>
                <w:rFonts w:hint="eastAsia" w:ascii="宋体" w:hAnsi="宋体" w:cs="宋体"/>
                <w:color w:val="000000"/>
                <w:spacing w:val="-4"/>
                <w:sz w:val="21"/>
                <w:szCs w:val="21"/>
              </w:rPr>
              <w:t>Q:5.2   S:4.2</w:t>
            </w:r>
          </w:p>
          <w:p>
            <w:pPr>
              <w:rPr>
                <w:rFonts w:hint="eastAsia" w:ascii="宋体" w:hAnsi="宋体" w:eastAsia="宋体" w:cs="宋体"/>
                <w:b/>
                <w:kern w:val="2"/>
                <w:sz w:val="21"/>
                <w:szCs w:val="21"/>
                <w:lang w:val="en-US" w:eastAsia="zh-CN" w:bidi="ar-SA"/>
              </w:rPr>
            </w:pPr>
          </w:p>
        </w:tc>
        <w:tc>
          <w:tcPr>
            <w:tcW w:w="10943" w:type="dxa"/>
            <w:vAlign w:val="center"/>
          </w:tcPr>
          <w:p>
            <w:pPr>
              <w:snapToGrid w:val="0"/>
              <w:spacing w:line="360" w:lineRule="auto"/>
              <w:rPr>
                <w:rFonts w:hint="eastAsia" w:ascii="宋体" w:hAnsi="宋体" w:cs="宋体"/>
                <w:color w:val="000000"/>
                <w:sz w:val="21"/>
                <w:szCs w:val="21"/>
                <w:lang w:eastAsia="zh-CN"/>
              </w:rPr>
            </w:pPr>
            <w:r>
              <w:rPr>
                <w:rFonts w:hint="eastAsia" w:ascii="宋体" w:hAnsi="宋体" w:cs="宋体"/>
                <w:color w:val="000000"/>
                <w:sz w:val="21"/>
                <w:szCs w:val="21"/>
                <w:lang w:val="en-US" w:eastAsia="zh-CN"/>
              </w:rPr>
              <w:t>提供</w:t>
            </w:r>
            <w:r>
              <w:rPr>
                <w:rFonts w:hint="eastAsia" w:ascii="宋体" w:hAnsi="宋体" w:cs="宋体"/>
                <w:color w:val="000000"/>
                <w:sz w:val="21"/>
                <w:szCs w:val="21"/>
                <w:lang w:eastAsia="zh-CN"/>
              </w:rPr>
              <w:t>企业总经理批准了企业的管理方针“优质、高效、求实、创新”。</w:t>
            </w:r>
          </w:p>
          <w:p>
            <w:pPr>
              <w:snapToGrid w:val="0"/>
              <w:spacing w:line="360" w:lineRule="auto"/>
              <w:rPr>
                <w:rFonts w:hint="eastAsia" w:ascii="宋体" w:hAnsi="宋体" w:cs="宋体"/>
                <w:color w:val="000000"/>
                <w:sz w:val="21"/>
                <w:szCs w:val="21"/>
              </w:rPr>
            </w:pPr>
            <w:r>
              <w:rPr>
                <w:rFonts w:hint="eastAsia" w:ascii="宋体" w:hAnsi="宋体" w:cs="宋体"/>
                <w:color w:val="000000"/>
                <w:sz w:val="21"/>
                <w:szCs w:val="21"/>
              </w:rPr>
              <w:t>在手册发布会上向员工进行了宣讲，并分发到相关部门。</w:t>
            </w:r>
          </w:p>
          <w:p>
            <w:pPr>
              <w:snapToGrid w:val="0"/>
              <w:spacing w:line="360" w:lineRule="auto"/>
              <w:rPr>
                <w:rFonts w:hint="eastAsia" w:ascii="宋体" w:hAnsi="宋体" w:eastAsia="宋体" w:cs="宋体"/>
                <w:kern w:val="2"/>
                <w:sz w:val="21"/>
                <w:szCs w:val="21"/>
                <w:lang w:val="en-US" w:eastAsia="zh-CN" w:bidi="ar-SA"/>
              </w:rPr>
            </w:pPr>
            <w:r>
              <w:rPr>
                <w:rFonts w:hint="eastAsia" w:ascii="宋体" w:hAnsi="宋体" w:cs="宋体"/>
                <w:color w:val="000000"/>
                <w:sz w:val="21"/>
                <w:szCs w:val="21"/>
              </w:rPr>
              <w:t>询问管理者代表对质量、职业健康安全方针的理解基本一致，持续适宜</w:t>
            </w:r>
            <w:r>
              <w:rPr>
                <w:rFonts w:hint="eastAsia" w:ascii="宋体" w:hAnsi="宋体" w:cs="宋体"/>
                <w:color w:val="000000"/>
                <w:sz w:val="21"/>
                <w:szCs w:val="21"/>
                <w:lang w:eastAsia="zh-CN"/>
              </w:rPr>
              <w:t>开展宣传教育，不断增强员工的质量和职业健康安全意识，积极支持对公众提倡环保意识的活动。</w:t>
            </w:r>
          </w:p>
        </w:tc>
        <w:tc>
          <w:tcPr>
            <w:tcW w:w="646"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892" w:type="dxa"/>
            <w:vAlign w:val="center"/>
          </w:tcPr>
          <w:p>
            <w:pPr>
              <w:spacing w:line="360" w:lineRule="auto"/>
              <w:jc w:val="left"/>
              <w:rPr>
                <w:rFonts w:hint="eastAsia" w:ascii="仿宋" w:hAnsi="仿宋" w:eastAsia="仿宋"/>
                <w:sz w:val="24"/>
                <w:szCs w:val="24"/>
              </w:rPr>
            </w:pPr>
          </w:p>
          <w:p>
            <w:pPr>
              <w:spacing w:line="360" w:lineRule="auto"/>
              <w:jc w:val="left"/>
              <w:rPr>
                <w:rFonts w:hint="eastAsia" w:ascii="仿宋" w:hAnsi="仿宋" w:eastAsia="仿宋"/>
                <w:sz w:val="24"/>
                <w:szCs w:val="24"/>
              </w:rPr>
            </w:pPr>
          </w:p>
          <w:p>
            <w:pPr>
              <w:spacing w:line="360" w:lineRule="auto"/>
              <w:jc w:val="left"/>
              <w:rPr>
                <w:rFonts w:hint="eastAsia" w:ascii="宋体" w:hAnsi="宋体" w:eastAsia="宋体" w:cs="宋体"/>
                <w:color w:val="000000"/>
                <w:spacing w:val="-4"/>
                <w:kern w:val="2"/>
                <w:sz w:val="21"/>
                <w:szCs w:val="21"/>
                <w:lang w:val="en-US" w:eastAsia="zh-CN" w:bidi="ar-SA"/>
              </w:rPr>
            </w:pPr>
            <w:r>
              <w:rPr>
                <w:rFonts w:hint="eastAsia" w:ascii="仿宋" w:hAnsi="仿宋" w:eastAsia="仿宋"/>
                <w:sz w:val="24"/>
                <w:szCs w:val="24"/>
              </w:rPr>
              <w:t>岗位、职责和权限</w:t>
            </w:r>
          </w:p>
        </w:tc>
        <w:tc>
          <w:tcPr>
            <w:tcW w:w="1228" w:type="dxa"/>
            <w:vAlign w:val="center"/>
          </w:tcPr>
          <w:p>
            <w:pPr>
              <w:rPr>
                <w:rFonts w:hint="eastAsia" w:ascii="宋体" w:hAnsi="宋体" w:cs="宋体"/>
                <w:sz w:val="21"/>
                <w:szCs w:val="21"/>
              </w:rPr>
            </w:pPr>
          </w:p>
          <w:p>
            <w:pPr>
              <w:rPr>
                <w:rFonts w:hint="eastAsia" w:ascii="宋体" w:hAnsi="宋体" w:cs="宋体"/>
                <w:sz w:val="21"/>
                <w:szCs w:val="21"/>
              </w:rPr>
            </w:pPr>
          </w:p>
          <w:p>
            <w:pPr>
              <w:rPr>
                <w:rFonts w:hint="eastAsia" w:ascii="宋体" w:hAnsi="宋体" w:cs="宋体"/>
                <w:sz w:val="21"/>
                <w:szCs w:val="21"/>
              </w:rPr>
            </w:pPr>
            <w:r>
              <w:rPr>
                <w:rFonts w:hint="eastAsia" w:ascii="宋体" w:hAnsi="宋体" w:cs="宋体"/>
                <w:sz w:val="21"/>
                <w:szCs w:val="21"/>
              </w:rPr>
              <w:t>Q</w:t>
            </w:r>
            <w:r>
              <w:rPr>
                <w:rFonts w:hint="eastAsia" w:ascii="宋体" w:hAnsi="宋体" w:cs="宋体"/>
                <w:sz w:val="21"/>
                <w:szCs w:val="21"/>
                <w:lang w:val="en-US" w:eastAsia="zh-CN"/>
              </w:rPr>
              <w:t xml:space="preserve"> </w:t>
            </w:r>
            <w:r>
              <w:rPr>
                <w:rFonts w:hint="eastAsia" w:ascii="宋体" w:hAnsi="宋体" w:cs="宋体"/>
                <w:sz w:val="21"/>
                <w:szCs w:val="21"/>
              </w:rPr>
              <w:t>5.3</w:t>
            </w:r>
          </w:p>
          <w:p>
            <w:pPr>
              <w:rPr>
                <w:rFonts w:hint="eastAsia" w:ascii="宋体" w:hAnsi="宋体" w:eastAsia="宋体" w:cs="宋体"/>
                <w:b/>
                <w:kern w:val="2"/>
                <w:sz w:val="21"/>
                <w:szCs w:val="21"/>
                <w:lang w:val="en-US" w:eastAsia="zh-CN" w:bidi="ar-SA"/>
              </w:rPr>
            </w:pPr>
            <w:r>
              <w:rPr>
                <w:rFonts w:hint="eastAsia" w:ascii="宋体" w:hAnsi="宋体" w:cs="宋体"/>
                <w:sz w:val="21"/>
                <w:szCs w:val="21"/>
              </w:rPr>
              <w:t>S4.4.1</w:t>
            </w:r>
          </w:p>
        </w:tc>
        <w:tc>
          <w:tcPr>
            <w:tcW w:w="10943" w:type="dxa"/>
            <w:vAlign w:val="center"/>
          </w:tcPr>
          <w:p>
            <w:pPr>
              <w:snapToGrid w:val="0"/>
              <w:spacing w:line="360" w:lineRule="auto"/>
              <w:rPr>
                <w:rFonts w:hint="eastAsia" w:ascii="宋体" w:hAnsi="宋体" w:cs="宋体"/>
                <w:color w:val="000000"/>
                <w:sz w:val="21"/>
                <w:szCs w:val="21"/>
              </w:rPr>
            </w:pPr>
            <w:r>
              <w:rPr>
                <w:rFonts w:hint="eastAsia" w:ascii="宋体" w:hAnsi="宋体" w:cs="宋体"/>
                <w:color w:val="000000"/>
                <w:sz w:val="21"/>
                <w:szCs w:val="21"/>
                <w:lang w:eastAsia="zh-CN"/>
              </w:rPr>
              <w:t>查《管理手册》</w:t>
            </w:r>
            <w:r>
              <w:rPr>
                <w:rFonts w:hint="eastAsia" w:ascii="宋体" w:hAnsi="宋体" w:cs="宋体"/>
                <w:color w:val="000000"/>
                <w:sz w:val="21"/>
                <w:szCs w:val="21"/>
                <w:lang w:val="en-US" w:eastAsia="zh-CN"/>
              </w:rPr>
              <w:t>及</w:t>
            </w:r>
            <w:r>
              <w:rPr>
                <w:rFonts w:hint="eastAsia" w:ascii="宋体" w:hAnsi="宋体" w:cs="宋体"/>
                <w:color w:val="000000"/>
                <w:sz w:val="21"/>
                <w:szCs w:val="21"/>
                <w:lang w:eastAsia="zh-CN"/>
              </w:rPr>
              <w:t>企业组织机构图、职能分配表。公司编制</w:t>
            </w:r>
            <w:r>
              <w:rPr>
                <w:rFonts w:hint="eastAsia" w:ascii="宋体" w:hAnsi="宋体" w:cs="宋体"/>
                <w:color w:val="000000"/>
                <w:sz w:val="21"/>
                <w:szCs w:val="21"/>
                <w:lang w:val="en-US" w:eastAsia="zh-CN"/>
              </w:rPr>
              <w:t>并执行</w:t>
            </w:r>
            <w:r>
              <w:rPr>
                <w:rFonts w:hint="eastAsia" w:ascii="宋体" w:hAnsi="宋体" w:cs="宋体"/>
                <w:color w:val="000000"/>
                <w:sz w:val="21"/>
                <w:szCs w:val="21"/>
                <w:lang w:eastAsia="zh-CN"/>
              </w:rPr>
              <w:t>《部门职责》和《岗位说明书》对总经理、管理者代表、各部门的岗位职责和权限进行了规定，内容全面合理。各部门、岗位之间通过会议、文件传阅、培训等方式相互了解职责与权限。公司在建立管理体系之初，对</w:t>
            </w:r>
            <w:r>
              <w:rPr>
                <w:rFonts w:hint="eastAsia" w:ascii="宋体" w:hAnsi="宋体" w:cs="宋体"/>
                <w:color w:val="000000"/>
                <w:sz w:val="21"/>
                <w:szCs w:val="21"/>
              </w:rPr>
              <w:t>各部门的职责权限进行了划分，质量手册中确定了公司组织机构图，管理层、</w:t>
            </w:r>
            <w:r>
              <w:rPr>
                <w:rFonts w:hint="eastAsia" w:ascii="宋体" w:hAnsi="宋体" w:cs="宋体"/>
                <w:color w:val="000000"/>
                <w:sz w:val="21"/>
                <w:szCs w:val="21"/>
                <w:lang w:eastAsia="zh-CN"/>
              </w:rPr>
              <w:t>综合部</w:t>
            </w:r>
            <w:r>
              <w:rPr>
                <w:rFonts w:hint="eastAsia" w:ascii="宋体" w:hAnsi="宋体" w:cs="宋体"/>
                <w:color w:val="000000"/>
                <w:sz w:val="21"/>
                <w:szCs w:val="21"/>
              </w:rPr>
              <w:t>、</w:t>
            </w:r>
            <w:r>
              <w:rPr>
                <w:rFonts w:hint="eastAsia" w:ascii="宋体" w:hAnsi="宋体" w:cs="宋体"/>
                <w:color w:val="000000"/>
                <w:sz w:val="21"/>
                <w:szCs w:val="21"/>
                <w:lang w:eastAsia="zh-CN"/>
              </w:rPr>
              <w:t>生</w:t>
            </w:r>
            <w:r>
              <w:rPr>
                <w:rFonts w:hint="eastAsia" w:ascii="宋体" w:hAnsi="宋体" w:cs="宋体"/>
                <w:color w:val="000000"/>
                <w:sz w:val="21"/>
                <w:szCs w:val="21"/>
                <w:lang w:val="en-US" w:eastAsia="zh-CN"/>
              </w:rPr>
              <w:t>技</w:t>
            </w:r>
            <w:r>
              <w:rPr>
                <w:rFonts w:hint="eastAsia" w:ascii="宋体" w:hAnsi="宋体" w:cs="宋体"/>
                <w:color w:val="000000"/>
                <w:sz w:val="21"/>
                <w:szCs w:val="21"/>
                <w:lang w:eastAsia="zh-CN"/>
              </w:rPr>
              <w:t>部</w:t>
            </w:r>
            <w:r>
              <w:rPr>
                <w:rFonts w:hint="eastAsia" w:ascii="宋体" w:hAnsi="宋体" w:cs="宋体"/>
                <w:color w:val="000000"/>
                <w:sz w:val="21"/>
                <w:szCs w:val="21"/>
              </w:rPr>
              <w:t>、</w:t>
            </w:r>
            <w:r>
              <w:rPr>
                <w:rFonts w:hint="eastAsia" w:ascii="宋体" w:hAnsi="宋体" w:cs="宋体"/>
                <w:color w:val="000000"/>
                <w:sz w:val="21"/>
                <w:szCs w:val="21"/>
                <w:lang w:eastAsia="zh-CN"/>
              </w:rPr>
              <w:t>供销部。</w:t>
            </w:r>
            <w:r>
              <w:rPr>
                <w:rFonts w:hint="eastAsia" w:ascii="宋体" w:hAnsi="宋体" w:cs="宋体"/>
                <w:color w:val="000000"/>
                <w:sz w:val="21"/>
                <w:szCs w:val="21"/>
              </w:rPr>
              <w:t>对应每个部门有职能分配表</w:t>
            </w:r>
            <w:r>
              <w:rPr>
                <w:rFonts w:hint="eastAsia" w:ascii="宋体" w:hAnsi="宋体" w:cs="宋体"/>
                <w:color w:val="000000"/>
                <w:sz w:val="21"/>
                <w:szCs w:val="21"/>
                <w:lang w:val="en-US" w:eastAsia="zh-CN"/>
              </w:rPr>
              <w:t>对</w:t>
            </w:r>
            <w:r>
              <w:rPr>
                <w:rFonts w:hint="eastAsia" w:ascii="宋体" w:hAnsi="宋体" w:cs="宋体"/>
                <w:color w:val="000000"/>
                <w:sz w:val="21"/>
                <w:szCs w:val="21"/>
              </w:rPr>
              <w:t>职责和权限进行了规定，质量体系负责人由管理者代表：</w:t>
            </w:r>
            <w:r>
              <w:rPr>
                <w:rFonts w:hint="eastAsia" w:ascii="宋体" w:hAnsi="宋体" w:cs="宋体"/>
                <w:color w:val="000000"/>
                <w:sz w:val="21"/>
                <w:szCs w:val="21"/>
                <w:lang w:val="en-US" w:eastAsia="zh-CN"/>
              </w:rPr>
              <w:t>朱卫平</w:t>
            </w:r>
            <w:r>
              <w:rPr>
                <w:rFonts w:hint="eastAsia" w:ascii="宋体" w:hAnsi="宋体" w:cs="宋体"/>
                <w:color w:val="000000"/>
                <w:sz w:val="21"/>
                <w:szCs w:val="21"/>
              </w:rPr>
              <w:t>负责，各部门基本清楚其职责，文件描述职责与实际基本符合。</w:t>
            </w:r>
          </w:p>
          <w:p>
            <w:pPr>
              <w:snapToGrid w:val="0"/>
              <w:spacing w:line="360" w:lineRule="auto"/>
              <w:rPr>
                <w:rFonts w:hint="eastAsia" w:ascii="宋体" w:hAnsi="宋体" w:cs="宋体"/>
                <w:color w:val="000000"/>
                <w:sz w:val="21"/>
                <w:szCs w:val="21"/>
              </w:rPr>
            </w:pPr>
            <w:r>
              <w:rPr>
                <w:rFonts w:hint="eastAsia" w:ascii="宋体" w:hAnsi="宋体" w:cs="宋体"/>
                <w:color w:val="000000"/>
                <w:sz w:val="21"/>
                <w:szCs w:val="21"/>
              </w:rPr>
              <w:t>公司策划有《风险评估管理和应急预案控制程序》，考虑到</w:t>
            </w:r>
            <w:r>
              <w:rPr>
                <w:rFonts w:hint="eastAsia" w:ascii="宋体" w:hAnsi="宋体" w:cs="宋体"/>
                <w:color w:val="000000"/>
                <w:sz w:val="21"/>
                <w:szCs w:val="21"/>
                <w:lang w:val="en-US" w:eastAsia="zh-CN"/>
              </w:rPr>
              <w:t>环境</w:t>
            </w:r>
            <w:r>
              <w:rPr>
                <w:rFonts w:hint="eastAsia" w:ascii="宋体" w:hAnsi="宋体" w:cs="宋体"/>
                <w:color w:val="000000"/>
                <w:sz w:val="21"/>
                <w:szCs w:val="21"/>
              </w:rPr>
              <w:t>因素和</w:t>
            </w:r>
            <w:r>
              <w:rPr>
                <w:rFonts w:hint="eastAsia" w:ascii="宋体" w:hAnsi="宋体" w:cs="宋体"/>
                <w:color w:val="000000"/>
                <w:sz w:val="21"/>
                <w:szCs w:val="21"/>
                <w:lang w:val="en-US" w:eastAsia="zh-CN"/>
              </w:rPr>
              <w:t>相关方</w:t>
            </w:r>
            <w:r>
              <w:rPr>
                <w:rFonts w:hint="eastAsia" w:ascii="宋体" w:hAnsi="宋体" w:cs="宋体"/>
                <w:color w:val="000000"/>
                <w:sz w:val="21"/>
                <w:szCs w:val="21"/>
              </w:rPr>
              <w:t>的要求，确定需要应对的风险和机遇包括：人力资源风险、法律法规的变化、行业标准的变化、策划能力风险控制、公共设施风险控制及短交期风险控制以及其他风险控制。</w:t>
            </w:r>
          </w:p>
          <w:p>
            <w:pPr>
              <w:snapToGrid w:val="0"/>
              <w:spacing w:line="360" w:lineRule="auto"/>
              <w:rPr>
                <w:rFonts w:hint="eastAsia" w:ascii="宋体" w:hAnsi="宋体" w:eastAsia="宋体" w:cs="宋体"/>
                <w:kern w:val="2"/>
                <w:sz w:val="21"/>
                <w:szCs w:val="21"/>
                <w:lang w:val="en-US" w:eastAsia="zh-CN" w:bidi="ar-SA"/>
              </w:rPr>
            </w:pPr>
            <w:r>
              <w:rPr>
                <w:rFonts w:hint="eastAsia" w:ascii="宋体" w:hAnsi="宋体" w:cs="宋体"/>
                <w:color w:val="000000"/>
                <w:sz w:val="21"/>
                <w:szCs w:val="21"/>
              </w:rPr>
              <w:t>组织发生变更时能保持体系的正常运行和完整性。</w:t>
            </w:r>
          </w:p>
        </w:tc>
        <w:tc>
          <w:tcPr>
            <w:tcW w:w="646"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892" w:type="dxa"/>
            <w:vAlign w:val="center"/>
          </w:tcPr>
          <w:p>
            <w:pPr>
              <w:spacing w:line="360" w:lineRule="auto"/>
              <w:jc w:val="left"/>
              <w:rPr>
                <w:rFonts w:hint="eastAsia" w:ascii="宋体" w:hAnsi="宋体" w:eastAsia="宋体" w:cs="宋体"/>
                <w:color w:val="000000"/>
                <w:spacing w:val="-4"/>
                <w:kern w:val="2"/>
                <w:sz w:val="21"/>
                <w:szCs w:val="21"/>
                <w:lang w:val="en-US" w:eastAsia="zh-CN" w:bidi="ar-SA"/>
              </w:rPr>
            </w:pPr>
            <w:r>
              <w:rPr>
                <w:rFonts w:hint="eastAsia" w:ascii="仿宋" w:hAnsi="仿宋" w:eastAsia="仿宋"/>
                <w:sz w:val="24"/>
                <w:szCs w:val="24"/>
              </w:rPr>
              <w:t>风险的策划及应对措施</w:t>
            </w:r>
          </w:p>
        </w:tc>
        <w:tc>
          <w:tcPr>
            <w:tcW w:w="1228" w:type="dxa"/>
            <w:vAlign w:val="center"/>
          </w:tcPr>
          <w:p>
            <w:pPr>
              <w:rPr>
                <w:rFonts w:hint="eastAsia" w:ascii="宋体" w:hAnsi="宋体" w:eastAsia="宋体" w:cs="Times New Roman"/>
                <w:b/>
                <w:kern w:val="2"/>
                <w:sz w:val="21"/>
                <w:szCs w:val="21"/>
                <w:lang w:val="en-US" w:eastAsia="zh-CN" w:bidi="ar-SA"/>
              </w:rPr>
            </w:pPr>
            <w:r>
              <w:rPr>
                <w:rFonts w:hint="eastAsia" w:ascii="宋体" w:hAnsi="宋体" w:cs="宋体"/>
                <w:color w:val="000000"/>
                <w:sz w:val="21"/>
                <w:szCs w:val="21"/>
              </w:rPr>
              <w:t>Q</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rPr>
              <w:t>6.1</w:t>
            </w:r>
          </w:p>
        </w:tc>
        <w:tc>
          <w:tcPr>
            <w:tcW w:w="10943" w:type="dxa"/>
            <w:vAlign w:val="center"/>
          </w:tcPr>
          <w:p>
            <w:pPr>
              <w:snapToGrid w:val="0"/>
              <w:spacing w:line="360" w:lineRule="auto"/>
              <w:rPr>
                <w:rFonts w:hint="eastAsia" w:ascii="宋体" w:hAnsi="宋体" w:cs="宋体"/>
                <w:color w:val="000000"/>
                <w:sz w:val="21"/>
                <w:szCs w:val="21"/>
              </w:rPr>
            </w:pPr>
            <w:r>
              <w:rPr>
                <w:rFonts w:hint="eastAsia" w:ascii="宋体" w:hAnsi="宋体" w:cs="宋体"/>
                <w:color w:val="000000"/>
                <w:sz w:val="21"/>
                <w:szCs w:val="21"/>
              </w:rPr>
              <w:t>查见《风险和机遇评估分析表》：</w:t>
            </w:r>
          </w:p>
          <w:p>
            <w:pPr>
              <w:snapToGrid w:val="0"/>
              <w:spacing w:line="360" w:lineRule="auto"/>
              <w:rPr>
                <w:rFonts w:hint="eastAsia" w:ascii="宋体" w:hAnsi="宋体" w:cs="宋体"/>
                <w:color w:val="000000"/>
                <w:sz w:val="21"/>
                <w:szCs w:val="21"/>
              </w:rPr>
            </w:pPr>
            <w:r>
              <w:rPr>
                <w:rFonts w:hint="eastAsia" w:ascii="宋体" w:hAnsi="宋体" w:cs="宋体"/>
                <w:color w:val="000000"/>
                <w:sz w:val="21"/>
                <w:szCs w:val="21"/>
                <w:lang w:val="en-US" w:eastAsia="zh-CN"/>
              </w:rPr>
              <w:t>发现了</w:t>
            </w:r>
            <w:r>
              <w:rPr>
                <w:rFonts w:hint="eastAsia" w:ascii="宋体" w:hAnsi="宋体" w:cs="宋体"/>
                <w:color w:val="000000"/>
                <w:sz w:val="21"/>
                <w:szCs w:val="21"/>
              </w:rPr>
              <w:t>外部因素；</w:t>
            </w:r>
            <w:r>
              <w:rPr>
                <w:rFonts w:hint="eastAsia" w:ascii="宋体" w:hAnsi="宋体" w:cs="宋体"/>
                <w:color w:val="000000"/>
                <w:sz w:val="21"/>
                <w:szCs w:val="21"/>
                <w:lang w:val="en-US" w:eastAsia="zh-CN"/>
              </w:rPr>
              <w:t>包括</w:t>
            </w:r>
            <w:r>
              <w:rPr>
                <w:rFonts w:hint="eastAsia" w:ascii="宋体" w:hAnsi="宋体" w:cs="宋体"/>
                <w:color w:val="000000"/>
                <w:sz w:val="21"/>
                <w:szCs w:val="21"/>
              </w:rPr>
              <w:t>竞争风险：公司目前在市场占有率和领先趋势比较明显，但竞争对手正在模仿公司的发展方式，影响公司的领先优势。机遇：竞争加剧，发展压力大，但也会带来新的发展机遇。</w:t>
            </w:r>
          </w:p>
          <w:p>
            <w:pPr>
              <w:snapToGrid w:val="0"/>
              <w:spacing w:line="360" w:lineRule="auto"/>
              <w:rPr>
                <w:rFonts w:hint="eastAsia" w:ascii="宋体" w:hAnsi="宋体" w:cs="宋体"/>
                <w:color w:val="000000"/>
                <w:sz w:val="21"/>
                <w:szCs w:val="21"/>
              </w:rPr>
            </w:pPr>
            <w:r>
              <w:rPr>
                <w:rFonts w:hint="eastAsia" w:ascii="宋体" w:hAnsi="宋体" w:cs="宋体"/>
                <w:color w:val="000000"/>
                <w:sz w:val="21"/>
                <w:szCs w:val="21"/>
              </w:rPr>
              <w:t>应对机遇及措施：及时关注公司市场的情况，收集信息及时调整，保持公司产品的竞争力。</w:t>
            </w:r>
          </w:p>
          <w:p>
            <w:pPr>
              <w:snapToGrid w:val="0"/>
              <w:spacing w:line="360" w:lineRule="auto"/>
              <w:rPr>
                <w:rFonts w:hint="eastAsia" w:ascii="宋体" w:hAnsi="宋体" w:cs="宋体"/>
                <w:color w:val="000000"/>
                <w:sz w:val="21"/>
                <w:szCs w:val="21"/>
              </w:rPr>
            </w:pPr>
            <w:r>
              <w:rPr>
                <w:rFonts w:hint="eastAsia" w:ascii="宋体" w:hAnsi="宋体" w:cs="宋体"/>
                <w:color w:val="000000"/>
                <w:sz w:val="21"/>
                <w:szCs w:val="21"/>
              </w:rPr>
              <w:t>针对外部因素，还分析了市场、文化、社会经济、法律法规的变化等。</w:t>
            </w:r>
          </w:p>
          <w:p>
            <w:pPr>
              <w:snapToGrid w:val="0"/>
              <w:spacing w:line="360" w:lineRule="auto"/>
              <w:rPr>
                <w:rFonts w:hint="eastAsia" w:ascii="宋体" w:hAnsi="宋体" w:cs="宋体"/>
                <w:color w:val="000000"/>
                <w:sz w:val="21"/>
                <w:szCs w:val="21"/>
              </w:rPr>
            </w:pPr>
            <w:r>
              <w:rPr>
                <w:rFonts w:hint="eastAsia" w:ascii="宋体" w:hAnsi="宋体" w:cs="宋体"/>
                <w:color w:val="000000"/>
                <w:sz w:val="21"/>
                <w:szCs w:val="21"/>
                <w:lang w:val="en-US" w:eastAsia="zh-CN"/>
              </w:rPr>
              <w:t>发现了</w:t>
            </w:r>
            <w:r>
              <w:rPr>
                <w:rFonts w:hint="eastAsia" w:ascii="宋体" w:hAnsi="宋体" w:cs="宋体"/>
                <w:color w:val="000000"/>
                <w:sz w:val="21"/>
                <w:szCs w:val="21"/>
              </w:rPr>
              <w:t>内部因素；</w:t>
            </w:r>
            <w:r>
              <w:rPr>
                <w:rFonts w:hint="eastAsia" w:ascii="宋体" w:hAnsi="宋体" w:cs="宋体"/>
                <w:color w:val="000000"/>
                <w:sz w:val="21"/>
                <w:szCs w:val="21"/>
                <w:lang w:val="en-US" w:eastAsia="zh-CN"/>
              </w:rPr>
              <w:t>包括</w:t>
            </w:r>
            <w:r>
              <w:rPr>
                <w:rFonts w:hint="eastAsia" w:ascii="宋体" w:hAnsi="宋体" w:cs="宋体"/>
                <w:color w:val="000000"/>
                <w:sz w:val="21"/>
                <w:szCs w:val="21"/>
              </w:rPr>
              <w:t xml:space="preserve">人力资源风险：公司目前人员，特别是优秀人才被外单位吸引离开的情况还是存在，人员在素质上参差不齐，会对工作完成质量造成不好的影响。      </w:t>
            </w:r>
          </w:p>
          <w:p>
            <w:pPr>
              <w:snapToGrid w:val="0"/>
              <w:spacing w:line="360" w:lineRule="auto"/>
              <w:rPr>
                <w:rFonts w:hint="eastAsia" w:ascii="宋体" w:hAnsi="宋体" w:cs="宋体"/>
                <w:color w:val="000000"/>
                <w:sz w:val="21"/>
                <w:szCs w:val="21"/>
              </w:rPr>
            </w:pPr>
            <w:r>
              <w:rPr>
                <w:rFonts w:hint="eastAsia" w:ascii="宋体" w:hAnsi="宋体" w:cs="宋体"/>
                <w:color w:val="000000"/>
                <w:sz w:val="21"/>
                <w:szCs w:val="21"/>
              </w:rPr>
              <w:t>机遇：公司目前主要人员比较稳定，各项绩效能顺利开展，为公司发展提供一个比较好的基础。</w:t>
            </w:r>
          </w:p>
          <w:p>
            <w:pPr>
              <w:snapToGrid w:val="0"/>
              <w:spacing w:line="360" w:lineRule="auto"/>
              <w:rPr>
                <w:rFonts w:hint="eastAsia" w:ascii="宋体" w:hAnsi="宋体" w:cs="宋体"/>
                <w:color w:val="000000"/>
                <w:sz w:val="21"/>
                <w:szCs w:val="21"/>
              </w:rPr>
            </w:pPr>
            <w:r>
              <w:rPr>
                <w:rFonts w:hint="eastAsia" w:ascii="宋体" w:hAnsi="宋体" w:cs="宋体"/>
                <w:color w:val="000000"/>
                <w:sz w:val="21"/>
                <w:szCs w:val="21"/>
              </w:rPr>
              <w:t>应对机遇及措施：各部门应及时关注员工的心态变化，注意工作方式，创造良好的工作环境，提高员工的归属感。</w:t>
            </w:r>
          </w:p>
          <w:p>
            <w:pPr>
              <w:snapToGrid w:val="0"/>
              <w:spacing w:line="360" w:lineRule="auto"/>
              <w:rPr>
                <w:rFonts w:hint="eastAsia" w:ascii="宋体" w:hAnsi="宋体" w:cs="宋体"/>
                <w:color w:val="000000"/>
                <w:sz w:val="21"/>
                <w:szCs w:val="21"/>
              </w:rPr>
            </w:pPr>
            <w:r>
              <w:rPr>
                <w:rFonts w:hint="eastAsia" w:ascii="宋体" w:hAnsi="宋体" w:cs="宋体"/>
                <w:color w:val="000000"/>
                <w:sz w:val="21"/>
                <w:szCs w:val="21"/>
              </w:rPr>
              <w:t>针对内部部因素，还分析了财务状况、人力资源、基础设施等。</w:t>
            </w:r>
          </w:p>
          <w:p>
            <w:pPr>
              <w:snapToGrid w:val="0"/>
              <w:spacing w:line="360" w:lineRule="auto"/>
              <w:rPr>
                <w:rFonts w:hint="eastAsia" w:ascii="宋体" w:hAnsi="宋体" w:eastAsia="宋体" w:cs="宋体"/>
                <w:kern w:val="2"/>
                <w:sz w:val="21"/>
                <w:szCs w:val="21"/>
                <w:lang w:val="en-US" w:eastAsia="zh-CN" w:bidi="ar-SA"/>
              </w:rPr>
            </w:pPr>
            <w:r>
              <w:rPr>
                <w:rFonts w:hint="eastAsia" w:ascii="宋体" w:hAnsi="宋体" w:cs="宋体"/>
                <w:color w:val="000000"/>
                <w:sz w:val="21"/>
                <w:szCs w:val="21"/>
              </w:rPr>
              <w:t>应对风险和机遇的措施与其对于产品和服务符合性的潜在影响相适应</w:t>
            </w:r>
            <w:r>
              <w:rPr>
                <w:rFonts w:hint="eastAsia" w:ascii="宋体" w:hAnsi="宋体" w:cs="宋体"/>
                <w:color w:val="000000"/>
                <w:sz w:val="21"/>
                <w:szCs w:val="21"/>
                <w:lang w:eastAsia="zh-CN"/>
              </w:rPr>
              <w:t>。</w:t>
            </w:r>
          </w:p>
        </w:tc>
        <w:tc>
          <w:tcPr>
            <w:tcW w:w="646"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trPr>
        <w:tc>
          <w:tcPr>
            <w:tcW w:w="1892" w:type="dxa"/>
            <w:vAlign w:val="center"/>
          </w:tcPr>
          <w:p>
            <w:pPr>
              <w:spacing w:line="360" w:lineRule="auto"/>
              <w:jc w:val="left"/>
              <w:rPr>
                <w:rFonts w:hint="eastAsia" w:ascii="仿宋" w:hAnsi="仿宋" w:eastAsia="仿宋"/>
                <w:sz w:val="24"/>
                <w:szCs w:val="24"/>
              </w:rPr>
            </w:pPr>
            <w:r>
              <w:rPr>
                <w:rFonts w:hint="eastAsia" w:ascii="仿宋" w:hAnsi="仿宋" w:eastAsia="仿宋"/>
                <w:sz w:val="24"/>
                <w:szCs w:val="24"/>
              </w:rPr>
              <w:t>质量、环境、职业健康安全目标、指标、管理方案及测量情况</w:t>
            </w:r>
          </w:p>
        </w:tc>
        <w:tc>
          <w:tcPr>
            <w:tcW w:w="1228" w:type="dxa"/>
            <w:vAlign w:val="center"/>
          </w:tcPr>
          <w:p>
            <w:pPr>
              <w:spacing w:line="360" w:lineRule="auto"/>
              <w:jc w:val="left"/>
              <w:rPr>
                <w:rFonts w:hint="eastAsia" w:ascii="宋体" w:hAnsi="宋体" w:cs="宋体"/>
                <w:color w:val="000000"/>
                <w:sz w:val="21"/>
                <w:szCs w:val="21"/>
              </w:rPr>
            </w:pPr>
            <w:r>
              <w:rPr>
                <w:rFonts w:hint="eastAsia" w:ascii="宋体" w:hAnsi="宋体" w:cs="宋体"/>
                <w:color w:val="000000"/>
                <w:sz w:val="21"/>
                <w:szCs w:val="21"/>
              </w:rPr>
              <w:t>Q</w:t>
            </w:r>
            <w:r>
              <w:rPr>
                <w:rFonts w:hint="eastAsia" w:ascii="宋体" w:hAnsi="宋体" w:cs="宋体"/>
                <w:color w:val="000000"/>
                <w:sz w:val="21"/>
                <w:szCs w:val="21"/>
                <w:lang w:eastAsia="zh-CN"/>
              </w:rPr>
              <w:t>：</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rPr>
              <w:t>6.2</w:t>
            </w:r>
          </w:p>
          <w:p>
            <w:pPr>
              <w:spacing w:line="360" w:lineRule="auto"/>
              <w:jc w:val="left"/>
              <w:rPr>
                <w:rFonts w:hint="eastAsia" w:ascii="宋体" w:hAnsi="宋体" w:cs="宋体"/>
                <w:color w:val="000000"/>
                <w:sz w:val="21"/>
                <w:szCs w:val="21"/>
              </w:rPr>
            </w:pPr>
            <w:r>
              <w:rPr>
                <w:rFonts w:hint="eastAsia" w:ascii="宋体" w:hAnsi="宋体" w:cs="宋体"/>
                <w:color w:val="000000"/>
                <w:sz w:val="21"/>
                <w:szCs w:val="21"/>
              </w:rPr>
              <w:t>S</w:t>
            </w:r>
            <w:r>
              <w:rPr>
                <w:rFonts w:hint="eastAsia" w:ascii="宋体" w:hAnsi="宋体" w:cs="宋体"/>
                <w:color w:val="000000"/>
                <w:sz w:val="21"/>
                <w:szCs w:val="21"/>
                <w:lang w:eastAsia="zh-CN"/>
              </w:rPr>
              <w:t>：</w:t>
            </w:r>
            <w:r>
              <w:rPr>
                <w:rFonts w:hint="eastAsia" w:ascii="宋体" w:hAnsi="宋体" w:cs="宋体"/>
                <w:color w:val="000000"/>
                <w:sz w:val="21"/>
                <w:szCs w:val="21"/>
              </w:rPr>
              <w:t>4.3.3</w:t>
            </w:r>
          </w:p>
          <w:p>
            <w:pPr>
              <w:rPr>
                <w:rFonts w:hint="eastAsia" w:ascii="宋体" w:hAnsi="宋体" w:cs="宋体"/>
                <w:color w:val="000000"/>
                <w:sz w:val="21"/>
                <w:szCs w:val="21"/>
              </w:rPr>
            </w:pPr>
          </w:p>
        </w:tc>
        <w:tc>
          <w:tcPr>
            <w:tcW w:w="10943" w:type="dxa"/>
            <w:vAlign w:val="center"/>
          </w:tcPr>
          <w:p>
            <w:pPr>
              <w:spacing w:line="360" w:lineRule="auto"/>
              <w:rPr>
                <w:rFonts w:hint="eastAsia" w:hAnsi="宋体"/>
                <w:snapToGrid w:val="0"/>
                <w:sz w:val="18"/>
                <w:szCs w:val="18"/>
              </w:rPr>
            </w:pPr>
            <w:r>
              <w:rPr>
                <w:rFonts w:hint="eastAsia" w:ascii="宋体" w:hAnsi="宋体" w:cs="宋体"/>
                <w:color w:val="000000"/>
                <w:sz w:val="21"/>
                <w:szCs w:val="21"/>
              </w:rPr>
              <w:t>质量</w:t>
            </w:r>
            <w:r>
              <w:rPr>
                <w:rFonts w:hint="eastAsia" w:ascii="宋体" w:hAnsi="宋体" w:cs="宋体"/>
                <w:color w:val="000000"/>
                <w:sz w:val="21"/>
                <w:szCs w:val="21"/>
                <w:lang w:eastAsia="zh-CN"/>
              </w:rPr>
              <w:t>、</w:t>
            </w:r>
            <w:r>
              <w:rPr>
                <w:rFonts w:hint="eastAsia" w:ascii="宋体" w:hAnsi="宋体" w:cs="宋体"/>
                <w:color w:val="000000"/>
                <w:sz w:val="21"/>
                <w:szCs w:val="21"/>
              </w:rPr>
              <w:t>职业健康安全目标与公司的质量职业健康安全方针保持了一致，包括了满足产品要求所需要的内容，可以测量公司的质量目标为：查《目标考核表》201</w:t>
            </w:r>
            <w:r>
              <w:rPr>
                <w:rFonts w:hint="eastAsia" w:ascii="宋体" w:hAnsi="宋体" w:cs="宋体"/>
                <w:color w:val="000000"/>
                <w:sz w:val="21"/>
                <w:szCs w:val="21"/>
                <w:lang w:val="en-US" w:eastAsia="zh-CN"/>
              </w:rPr>
              <w:t>9</w:t>
            </w:r>
            <w:r>
              <w:rPr>
                <w:rFonts w:hint="eastAsia" w:ascii="宋体" w:hAnsi="宋体" w:cs="宋体"/>
                <w:color w:val="000000"/>
                <w:sz w:val="21"/>
                <w:szCs w:val="21"/>
              </w:rPr>
              <w:t>年1</w:t>
            </w:r>
            <w:r>
              <w:rPr>
                <w:rFonts w:hint="eastAsia" w:ascii="宋体" w:hAnsi="宋体" w:cs="宋体"/>
                <w:color w:val="000000"/>
                <w:sz w:val="21"/>
                <w:szCs w:val="21"/>
                <w:lang w:val="en-US" w:eastAsia="zh-CN"/>
              </w:rPr>
              <w:t>2</w:t>
            </w:r>
            <w:r>
              <w:rPr>
                <w:rFonts w:hint="eastAsia" w:ascii="宋体" w:hAnsi="宋体" w:cs="宋体"/>
                <w:color w:val="000000"/>
                <w:sz w:val="21"/>
                <w:szCs w:val="21"/>
              </w:rPr>
              <w:t>月</w:t>
            </w:r>
            <w:r>
              <w:rPr>
                <w:rFonts w:hint="eastAsia" w:ascii="宋体" w:hAnsi="宋体" w:cs="宋体"/>
                <w:color w:val="000000"/>
                <w:sz w:val="21"/>
                <w:szCs w:val="21"/>
                <w:lang w:val="en-US" w:eastAsia="zh-CN"/>
              </w:rPr>
              <w:t>30日</w:t>
            </w:r>
            <w:bookmarkStart w:id="0" w:name="_GoBack"/>
            <w:bookmarkEnd w:id="0"/>
            <w:r>
              <w:rPr>
                <w:rFonts w:hint="eastAsia" w:ascii="宋体" w:hAnsi="宋体" w:cs="宋体"/>
                <w:color w:val="000000"/>
                <w:sz w:val="21"/>
                <w:szCs w:val="21"/>
              </w:rPr>
              <w:t>对目标进行考核，考核情况为：</w:t>
            </w:r>
          </w:p>
          <w:p>
            <w:pPr>
              <w:spacing w:line="240" w:lineRule="exact"/>
              <w:jc w:val="both"/>
              <w:rPr>
                <w:rFonts w:hint="eastAsia" w:hAnsi="宋体"/>
                <w:snapToGrid w:val="0"/>
                <w:sz w:val="18"/>
                <w:szCs w:val="18"/>
              </w:rPr>
            </w:pPr>
            <w:r>
              <w:rPr>
                <w:rFonts w:hint="eastAsia" w:hAnsi="宋体"/>
                <w:snapToGrid w:val="0"/>
                <w:sz w:val="18"/>
                <w:szCs w:val="18"/>
                <w:lang w:val="en-US" w:eastAsia="zh-CN"/>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2"/>
              <w:gridCol w:w="1050"/>
              <w:gridCol w:w="2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4192" w:type="dxa"/>
                  <w:noWrap w:val="0"/>
                  <w:vAlign w:val="center"/>
                </w:tcPr>
                <w:p>
                  <w:pPr>
                    <w:spacing w:line="240" w:lineRule="exact"/>
                    <w:rPr>
                      <w:rFonts w:hint="eastAsia"/>
                      <w:sz w:val="21"/>
                      <w:szCs w:val="21"/>
                    </w:rPr>
                  </w:pPr>
                  <w:r>
                    <w:rPr>
                      <w:rFonts w:hint="eastAsia" w:hAnsi="宋体"/>
                      <w:snapToGrid w:val="0"/>
                      <w:sz w:val="18"/>
                      <w:szCs w:val="18"/>
                    </w:rPr>
                    <w:t>目      标</w:t>
                  </w:r>
                </w:p>
              </w:tc>
              <w:tc>
                <w:tcPr>
                  <w:tcW w:w="1050" w:type="dxa"/>
                  <w:noWrap w:val="0"/>
                  <w:vAlign w:val="center"/>
                </w:tcPr>
                <w:p>
                  <w:pPr>
                    <w:spacing w:line="360" w:lineRule="auto"/>
                    <w:rPr>
                      <w:rFonts w:hint="eastAsia"/>
                      <w:sz w:val="21"/>
                      <w:szCs w:val="21"/>
                      <w:lang w:val="en-US" w:eastAsia="zh-CN"/>
                    </w:rPr>
                  </w:pPr>
                  <w:r>
                    <w:rPr>
                      <w:rFonts w:hint="eastAsia" w:hAnsi="宋体"/>
                      <w:snapToGrid w:val="0"/>
                      <w:sz w:val="18"/>
                      <w:szCs w:val="18"/>
                    </w:rPr>
                    <w:t>指     标</w:t>
                  </w:r>
                </w:p>
              </w:tc>
              <w:tc>
                <w:tcPr>
                  <w:tcW w:w="2012" w:type="dxa"/>
                  <w:noWrap w:val="0"/>
                  <w:vAlign w:val="center"/>
                </w:tcPr>
                <w:p>
                  <w:pPr>
                    <w:spacing w:line="240" w:lineRule="exact"/>
                    <w:jc w:val="center"/>
                    <w:rPr>
                      <w:rFonts w:hint="eastAsia" w:ascii="宋体" w:hAnsi="宋体"/>
                      <w:color w:val="auto"/>
                      <w:kern w:val="2"/>
                      <w:sz w:val="21"/>
                      <w:szCs w:val="21"/>
                    </w:rPr>
                  </w:pPr>
                  <w:r>
                    <w:rPr>
                      <w:rFonts w:hint="eastAsia" w:ascii="宋体" w:hAnsi="宋体"/>
                      <w:color w:val="auto"/>
                      <w:kern w:val="2"/>
                      <w:sz w:val="21"/>
                      <w:szCs w:val="21"/>
                    </w:rPr>
                    <w:t>考核</w:t>
                  </w:r>
                </w:p>
                <w:p>
                  <w:pPr>
                    <w:spacing w:line="240" w:lineRule="exact"/>
                    <w:jc w:val="center"/>
                    <w:rPr>
                      <w:rFonts w:hint="eastAsia" w:ascii="宋体" w:hAnsi="宋体"/>
                      <w:color w:val="auto"/>
                      <w:kern w:val="2"/>
                      <w:sz w:val="21"/>
                      <w:szCs w:val="21"/>
                    </w:rPr>
                  </w:pPr>
                  <w:r>
                    <w:rPr>
                      <w:rFonts w:hint="eastAsia" w:ascii="宋体" w:hAnsi="宋体"/>
                      <w:color w:val="auto"/>
                      <w:kern w:val="2"/>
                      <w:sz w:val="21"/>
                      <w:szCs w:val="21"/>
                    </w:rPr>
                    <w:t>情况</w:t>
                  </w:r>
                </w:p>
                <w:p>
                  <w:pPr>
                    <w:spacing w:line="240" w:lineRule="exact"/>
                    <w:ind w:firstLine="210" w:firstLineChars="100"/>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trPr>
              <w:tc>
                <w:tcPr>
                  <w:tcW w:w="4192" w:type="dxa"/>
                  <w:noWrap w:val="0"/>
                  <w:vAlign w:val="center"/>
                </w:tcPr>
                <w:p>
                  <w:pPr>
                    <w:spacing w:line="360" w:lineRule="auto"/>
                    <w:jc w:val="left"/>
                    <w:rPr>
                      <w:rFonts w:hint="eastAsia" w:hAnsi="宋体"/>
                      <w:snapToGrid w:val="0"/>
                      <w:sz w:val="18"/>
                      <w:szCs w:val="18"/>
                    </w:rPr>
                  </w:pPr>
                  <w:r>
                    <w:rPr>
                      <w:rFonts w:hint="eastAsia"/>
                      <w:sz w:val="21"/>
                      <w:szCs w:val="21"/>
                    </w:rPr>
                    <w:t>产品一次交验合格率</w:t>
                  </w:r>
                </w:p>
                <w:p>
                  <w:pPr>
                    <w:spacing w:line="360" w:lineRule="auto"/>
                    <w:jc w:val="left"/>
                    <w:rPr>
                      <w:rFonts w:hint="eastAsia" w:hAnsi="宋体"/>
                      <w:sz w:val="18"/>
                      <w:szCs w:val="18"/>
                    </w:rPr>
                  </w:pPr>
                  <w:r>
                    <w:rPr>
                      <w:rFonts w:hint="eastAsia"/>
                      <w:sz w:val="21"/>
                      <w:szCs w:val="21"/>
                    </w:rPr>
                    <w:t>顾客满意率</w:t>
                  </w:r>
                </w:p>
                <w:p>
                  <w:pPr>
                    <w:spacing w:line="360" w:lineRule="auto"/>
                    <w:jc w:val="left"/>
                    <w:rPr>
                      <w:rFonts w:hint="eastAsia"/>
                      <w:sz w:val="21"/>
                      <w:szCs w:val="21"/>
                    </w:rPr>
                  </w:pPr>
                  <w:r>
                    <w:rPr>
                      <w:rFonts w:hint="eastAsia"/>
                      <w:sz w:val="21"/>
                      <w:szCs w:val="21"/>
                    </w:rPr>
                    <w:t>触电事故发生率</w:t>
                  </w:r>
                </w:p>
                <w:p>
                  <w:pPr>
                    <w:spacing w:line="360" w:lineRule="auto"/>
                    <w:jc w:val="left"/>
                    <w:rPr>
                      <w:rFonts w:hint="eastAsia"/>
                      <w:sz w:val="21"/>
                      <w:szCs w:val="21"/>
                    </w:rPr>
                  </w:pPr>
                  <w:r>
                    <w:rPr>
                      <w:rFonts w:hint="eastAsia"/>
                      <w:sz w:val="21"/>
                      <w:szCs w:val="21"/>
                    </w:rPr>
                    <w:t>高温灼伤、机械伤害事故</w:t>
                  </w:r>
                </w:p>
                <w:p>
                  <w:pPr>
                    <w:spacing w:line="360" w:lineRule="auto"/>
                    <w:jc w:val="left"/>
                    <w:rPr>
                      <w:rFonts w:hint="eastAsia"/>
                      <w:sz w:val="21"/>
                      <w:szCs w:val="21"/>
                    </w:rPr>
                  </w:pPr>
                  <w:r>
                    <w:rPr>
                      <w:rFonts w:hint="eastAsia"/>
                      <w:sz w:val="21"/>
                      <w:szCs w:val="21"/>
                    </w:rPr>
                    <w:t>火灾事故</w:t>
                  </w:r>
                </w:p>
                <w:p>
                  <w:pPr>
                    <w:spacing w:line="360" w:lineRule="auto"/>
                    <w:jc w:val="left"/>
                    <w:rPr>
                      <w:rFonts w:hint="eastAsia"/>
                      <w:sz w:val="21"/>
                      <w:szCs w:val="21"/>
                    </w:rPr>
                  </w:pPr>
                  <w:r>
                    <w:rPr>
                      <w:rFonts w:hint="eastAsia"/>
                      <w:sz w:val="21"/>
                      <w:szCs w:val="21"/>
                    </w:rPr>
                    <w:t>劳动防护措施用品合理配置、正确使用率</w:t>
                  </w:r>
                </w:p>
                <w:p>
                  <w:pPr>
                    <w:pStyle w:val="3"/>
                    <w:spacing w:line="360" w:lineRule="auto"/>
                    <w:ind w:left="0" w:leftChars="0" w:firstLine="0" w:firstLineChars="0"/>
                    <w:jc w:val="left"/>
                    <w:rPr>
                      <w:rFonts w:hint="eastAsia"/>
                      <w:sz w:val="21"/>
                      <w:szCs w:val="21"/>
                    </w:rPr>
                  </w:pPr>
                  <w:r>
                    <w:rPr>
                      <w:rFonts w:hint="eastAsia"/>
                      <w:sz w:val="21"/>
                      <w:szCs w:val="21"/>
                    </w:rPr>
                    <w:t>年度职工工伤死亡率</w:t>
                  </w:r>
                </w:p>
              </w:tc>
              <w:tc>
                <w:tcPr>
                  <w:tcW w:w="1050" w:type="dxa"/>
                  <w:noWrap w:val="0"/>
                  <w:vAlign w:val="center"/>
                </w:tcPr>
                <w:p>
                  <w:pPr>
                    <w:spacing w:line="360" w:lineRule="auto"/>
                    <w:rPr>
                      <w:rFonts w:hint="eastAsia" w:hAnsi="宋体"/>
                      <w:snapToGrid w:val="0"/>
                      <w:sz w:val="18"/>
                      <w:szCs w:val="18"/>
                    </w:rPr>
                  </w:pPr>
                  <w:r>
                    <w:rPr>
                      <w:rFonts w:hint="eastAsia"/>
                      <w:sz w:val="21"/>
                      <w:szCs w:val="21"/>
                    </w:rPr>
                    <w:t>≥9</w:t>
                  </w:r>
                  <w:r>
                    <w:rPr>
                      <w:rFonts w:hint="eastAsia"/>
                      <w:sz w:val="21"/>
                      <w:szCs w:val="21"/>
                      <w:lang w:val="en-US" w:eastAsia="zh-CN"/>
                    </w:rPr>
                    <w:t>9</w:t>
                  </w:r>
                  <w:r>
                    <w:rPr>
                      <w:rFonts w:hint="eastAsia"/>
                      <w:sz w:val="21"/>
                      <w:szCs w:val="21"/>
                    </w:rPr>
                    <w:t>%</w:t>
                  </w:r>
                </w:p>
                <w:p>
                  <w:pPr>
                    <w:spacing w:line="360" w:lineRule="auto"/>
                    <w:rPr>
                      <w:rFonts w:hint="eastAsia" w:hAnsi="宋体"/>
                      <w:snapToGrid w:val="0"/>
                      <w:sz w:val="18"/>
                      <w:szCs w:val="18"/>
                    </w:rPr>
                  </w:pPr>
                  <w:r>
                    <w:rPr>
                      <w:rFonts w:hint="eastAsia"/>
                      <w:sz w:val="21"/>
                      <w:szCs w:val="21"/>
                    </w:rPr>
                    <w:t>≥95%</w:t>
                  </w:r>
                </w:p>
                <w:p>
                  <w:pPr>
                    <w:spacing w:line="360" w:lineRule="auto"/>
                    <w:rPr>
                      <w:rFonts w:hint="eastAsia" w:eastAsia="宋体"/>
                      <w:sz w:val="21"/>
                      <w:szCs w:val="21"/>
                      <w:lang w:val="en-US" w:eastAsia="zh-CN"/>
                    </w:rPr>
                  </w:pPr>
                  <w:r>
                    <w:rPr>
                      <w:rFonts w:hint="eastAsia"/>
                      <w:sz w:val="21"/>
                      <w:szCs w:val="21"/>
                      <w:lang w:val="en-US" w:eastAsia="zh-CN"/>
                    </w:rPr>
                    <w:t>0</w:t>
                  </w:r>
                </w:p>
                <w:p>
                  <w:pPr>
                    <w:spacing w:line="360" w:lineRule="auto"/>
                    <w:rPr>
                      <w:rFonts w:hint="eastAsia" w:hAnsi="宋体"/>
                      <w:snapToGrid w:val="0"/>
                      <w:sz w:val="18"/>
                      <w:szCs w:val="18"/>
                    </w:rPr>
                  </w:pPr>
                  <w:r>
                    <w:rPr>
                      <w:rFonts w:hint="eastAsia"/>
                      <w:sz w:val="21"/>
                      <w:szCs w:val="21"/>
                      <w:lang w:val="en-US" w:eastAsia="zh-CN"/>
                    </w:rPr>
                    <w:t>0</w:t>
                  </w:r>
                </w:p>
                <w:p>
                  <w:pPr>
                    <w:spacing w:line="360" w:lineRule="auto"/>
                    <w:rPr>
                      <w:rFonts w:hint="eastAsia" w:eastAsia="宋体"/>
                      <w:sz w:val="21"/>
                      <w:szCs w:val="21"/>
                      <w:lang w:val="en-US" w:eastAsia="zh-CN"/>
                    </w:rPr>
                  </w:pPr>
                  <w:r>
                    <w:rPr>
                      <w:rFonts w:hint="eastAsia"/>
                      <w:sz w:val="21"/>
                      <w:szCs w:val="21"/>
                      <w:lang w:val="en-US" w:eastAsia="zh-CN"/>
                    </w:rPr>
                    <w:t>0</w:t>
                  </w:r>
                </w:p>
                <w:p>
                  <w:pPr>
                    <w:spacing w:line="360" w:lineRule="auto"/>
                    <w:rPr>
                      <w:rFonts w:hint="eastAsia"/>
                      <w:sz w:val="21"/>
                      <w:szCs w:val="21"/>
                      <w:lang w:val="en-US" w:eastAsia="zh-CN"/>
                    </w:rPr>
                  </w:pPr>
                  <w:r>
                    <w:rPr>
                      <w:rFonts w:hint="eastAsia"/>
                      <w:sz w:val="21"/>
                      <w:szCs w:val="21"/>
                    </w:rPr>
                    <w:t>100%</w:t>
                  </w:r>
                </w:p>
                <w:p>
                  <w:pPr>
                    <w:spacing w:line="360" w:lineRule="auto"/>
                    <w:rPr>
                      <w:rFonts w:hint="eastAsia"/>
                      <w:sz w:val="21"/>
                      <w:szCs w:val="21"/>
                      <w:lang w:val="en-US" w:eastAsia="zh-CN"/>
                    </w:rPr>
                  </w:pPr>
                  <w:r>
                    <w:rPr>
                      <w:rFonts w:hint="eastAsia"/>
                      <w:sz w:val="21"/>
                      <w:szCs w:val="21"/>
                      <w:lang w:val="en-US" w:eastAsia="zh-CN"/>
                    </w:rPr>
                    <w:t>0</w:t>
                  </w:r>
                </w:p>
              </w:tc>
              <w:tc>
                <w:tcPr>
                  <w:tcW w:w="2012" w:type="dxa"/>
                  <w:noWrap w:val="0"/>
                  <w:vAlign w:val="center"/>
                </w:tcPr>
                <w:p>
                  <w:pPr>
                    <w:spacing w:line="360" w:lineRule="auto"/>
                    <w:ind w:firstLine="210" w:firstLineChars="100"/>
                    <w:rPr>
                      <w:rFonts w:hint="eastAsia" w:eastAsia="宋体"/>
                      <w:sz w:val="21"/>
                      <w:szCs w:val="21"/>
                      <w:lang w:val="en-US" w:eastAsia="zh-CN"/>
                    </w:rPr>
                  </w:pPr>
                  <w:r>
                    <w:rPr>
                      <w:rFonts w:hint="eastAsia"/>
                      <w:sz w:val="21"/>
                      <w:szCs w:val="21"/>
                      <w:lang w:val="en-US" w:eastAsia="zh-CN"/>
                    </w:rPr>
                    <w:t>99.6%</w:t>
                  </w:r>
                </w:p>
                <w:p>
                  <w:pPr>
                    <w:spacing w:line="360" w:lineRule="auto"/>
                    <w:ind w:firstLine="210" w:firstLineChars="100"/>
                    <w:rPr>
                      <w:rFonts w:hint="eastAsia" w:eastAsia="宋体"/>
                      <w:sz w:val="21"/>
                      <w:szCs w:val="21"/>
                      <w:lang w:val="en-US" w:eastAsia="zh-CN"/>
                    </w:rPr>
                  </w:pPr>
                  <w:r>
                    <w:rPr>
                      <w:rFonts w:hint="eastAsia"/>
                      <w:sz w:val="21"/>
                      <w:szCs w:val="21"/>
                      <w:lang w:val="en-US" w:eastAsia="zh-CN"/>
                    </w:rPr>
                    <w:t>95%</w:t>
                  </w:r>
                </w:p>
                <w:p>
                  <w:pPr>
                    <w:spacing w:line="360" w:lineRule="auto"/>
                    <w:ind w:firstLine="210" w:firstLineChars="100"/>
                    <w:rPr>
                      <w:rFonts w:hint="eastAsia"/>
                      <w:sz w:val="21"/>
                      <w:szCs w:val="21"/>
                      <w:lang w:val="en-US" w:eastAsia="zh-CN"/>
                    </w:rPr>
                  </w:pPr>
                  <w:r>
                    <w:rPr>
                      <w:rFonts w:hint="eastAsia"/>
                      <w:sz w:val="21"/>
                      <w:szCs w:val="21"/>
                      <w:lang w:val="en-US" w:eastAsia="zh-CN"/>
                    </w:rPr>
                    <w:t>0</w:t>
                  </w:r>
                </w:p>
                <w:p>
                  <w:pPr>
                    <w:spacing w:line="360" w:lineRule="auto"/>
                    <w:ind w:firstLine="210" w:firstLineChars="100"/>
                    <w:rPr>
                      <w:rFonts w:hint="eastAsia" w:eastAsia="宋体"/>
                      <w:sz w:val="21"/>
                      <w:szCs w:val="21"/>
                      <w:lang w:val="en-US" w:eastAsia="zh-CN"/>
                    </w:rPr>
                  </w:pPr>
                  <w:r>
                    <w:rPr>
                      <w:rFonts w:hint="eastAsia"/>
                      <w:sz w:val="21"/>
                      <w:szCs w:val="21"/>
                      <w:lang w:val="en-US" w:eastAsia="zh-CN"/>
                    </w:rPr>
                    <w:t>0</w:t>
                  </w:r>
                </w:p>
                <w:p>
                  <w:pPr>
                    <w:spacing w:line="360" w:lineRule="auto"/>
                    <w:ind w:firstLine="210" w:firstLineChars="100"/>
                    <w:rPr>
                      <w:rFonts w:hint="eastAsia"/>
                      <w:sz w:val="21"/>
                      <w:szCs w:val="21"/>
                      <w:lang w:val="en-US" w:eastAsia="zh-CN"/>
                    </w:rPr>
                  </w:pPr>
                  <w:r>
                    <w:rPr>
                      <w:rFonts w:hint="eastAsia"/>
                      <w:sz w:val="21"/>
                      <w:szCs w:val="21"/>
                      <w:lang w:val="en-US" w:eastAsia="zh-CN"/>
                    </w:rPr>
                    <w:t>0</w:t>
                  </w:r>
                </w:p>
                <w:p>
                  <w:pPr>
                    <w:spacing w:line="360" w:lineRule="auto"/>
                    <w:rPr>
                      <w:rFonts w:hint="eastAsia"/>
                      <w:sz w:val="21"/>
                      <w:szCs w:val="21"/>
                      <w:lang w:val="en-US" w:eastAsia="zh-CN"/>
                    </w:rPr>
                  </w:pPr>
                  <w:r>
                    <w:rPr>
                      <w:rFonts w:hint="eastAsia"/>
                      <w:sz w:val="21"/>
                      <w:szCs w:val="21"/>
                    </w:rPr>
                    <w:t>100%</w:t>
                  </w:r>
                </w:p>
                <w:p>
                  <w:pPr>
                    <w:spacing w:line="360" w:lineRule="auto"/>
                    <w:ind w:firstLine="210" w:firstLineChars="100"/>
                    <w:rPr>
                      <w:rFonts w:hint="eastAsia"/>
                      <w:sz w:val="21"/>
                      <w:szCs w:val="21"/>
                      <w:lang w:val="en-US" w:eastAsia="zh-CN"/>
                    </w:rPr>
                  </w:pPr>
                  <w:r>
                    <w:rPr>
                      <w:rFonts w:hint="eastAsia"/>
                      <w:sz w:val="21"/>
                      <w:szCs w:val="21"/>
                      <w:lang w:val="en-US" w:eastAsia="zh-CN"/>
                    </w:rPr>
                    <w:t>0</w:t>
                  </w:r>
                </w:p>
              </w:tc>
            </w:tr>
          </w:tbl>
          <w:p>
            <w:pPr>
              <w:spacing w:line="360" w:lineRule="auto"/>
              <w:rPr>
                <w:rFonts w:hint="eastAsia" w:ascii="宋体" w:hAnsi="宋体" w:cs="宋体"/>
                <w:color w:val="000000"/>
                <w:sz w:val="21"/>
                <w:szCs w:val="21"/>
              </w:rPr>
            </w:pPr>
            <w:r>
              <w:rPr>
                <w:rFonts w:hint="eastAsia" w:ascii="宋体" w:hAnsi="宋体" w:cs="宋体"/>
                <w:color w:val="000000"/>
                <w:sz w:val="21"/>
                <w:szCs w:val="21"/>
              </w:rPr>
              <w:t>公司的上述质量</w:t>
            </w:r>
            <w:r>
              <w:rPr>
                <w:rFonts w:hint="eastAsia" w:ascii="宋体" w:hAnsi="宋体" w:cs="宋体"/>
                <w:color w:val="000000"/>
                <w:sz w:val="21"/>
                <w:szCs w:val="21"/>
                <w:lang w:eastAsia="zh-CN"/>
              </w:rPr>
              <w:t>、</w:t>
            </w:r>
            <w:r>
              <w:rPr>
                <w:rFonts w:hint="eastAsia" w:ascii="宋体" w:hAnsi="宋体" w:cs="宋体"/>
                <w:color w:val="000000"/>
                <w:sz w:val="21"/>
                <w:szCs w:val="21"/>
              </w:rPr>
              <w:t>职业健康安全目标与公司的质量职业健康安全方针保持了一致，包括了满足产品要求所需要的内容，可以测量。</w:t>
            </w:r>
          </w:p>
          <w:p>
            <w:pPr>
              <w:spacing w:line="360" w:lineRule="auto"/>
              <w:rPr>
                <w:rFonts w:hint="eastAsia" w:ascii="宋体" w:hAnsi="宋体" w:cs="宋体"/>
                <w:color w:val="000000"/>
                <w:sz w:val="21"/>
                <w:szCs w:val="21"/>
              </w:rPr>
            </w:pPr>
            <w:r>
              <w:rPr>
                <w:rFonts w:hint="eastAsia" w:ascii="宋体" w:hAnsi="宋体" w:cs="宋体"/>
                <w:color w:val="000000"/>
                <w:sz w:val="21"/>
                <w:szCs w:val="21"/>
              </w:rPr>
              <w:t>经核查，公司已将质量目标分解到各职能部门，制订了各部门的质量目标，基本能结合各部门工作实际，符合要求。</w:t>
            </w:r>
          </w:p>
          <w:p>
            <w:pPr>
              <w:pStyle w:val="9"/>
              <w:spacing w:line="400" w:lineRule="exact"/>
              <w:rPr>
                <w:rFonts w:hint="eastAsia" w:ascii="宋体" w:hAnsi="宋体"/>
                <w:color w:val="auto"/>
                <w:kern w:val="2"/>
                <w:sz w:val="21"/>
                <w:szCs w:val="21"/>
              </w:rPr>
            </w:pPr>
            <w:r>
              <w:rPr>
                <w:rFonts w:hint="eastAsia" w:ascii="宋体" w:hAnsi="宋体"/>
                <w:color w:val="auto"/>
                <w:kern w:val="2"/>
                <w:sz w:val="21"/>
                <w:szCs w:val="21"/>
              </w:rPr>
              <w:t>职业健康安全目标、指标管理方案</w:t>
            </w:r>
            <w:r>
              <w:rPr>
                <w:rFonts w:hint="eastAsia" w:ascii="宋体" w:hAnsi="宋体"/>
                <w:color w:val="auto"/>
                <w:kern w:val="2"/>
                <w:sz w:val="21"/>
                <w:szCs w:val="21"/>
                <w:lang w:val="en-US" w:eastAsia="zh-CN"/>
              </w:rPr>
              <w:t>3</w:t>
            </w:r>
            <w:r>
              <w:rPr>
                <w:rFonts w:hint="eastAsia" w:ascii="宋体" w:hAnsi="宋体"/>
                <w:color w:val="auto"/>
                <w:kern w:val="2"/>
                <w:sz w:val="21"/>
                <w:szCs w:val="21"/>
              </w:rPr>
              <w:t>个：</w:t>
            </w:r>
          </w:p>
          <w:p>
            <w:pPr>
              <w:pStyle w:val="17"/>
              <w:tabs>
                <w:tab w:val="center" w:pos="4535"/>
                <w:tab w:val="left" w:pos="7128"/>
              </w:tabs>
              <w:spacing w:line="360" w:lineRule="auto"/>
              <w:ind w:left="0" w:leftChars="0" w:firstLine="0" w:firstLineChars="0"/>
              <w:jc w:val="left"/>
              <w:textAlignment w:val="baseline"/>
              <w:rPr>
                <w:rFonts w:hint="eastAsia" w:ascii="宋体" w:hAnsi="宋体" w:cs="宋体"/>
                <w:b/>
                <w:bCs/>
                <w:szCs w:val="21"/>
              </w:rPr>
            </w:pPr>
            <w:r>
              <w:rPr>
                <w:rFonts w:hint="eastAsia" w:ascii="宋体" w:hAnsi="宋体" w:cs="宋体"/>
                <w:b/>
                <w:bCs/>
                <w:szCs w:val="21"/>
              </w:rPr>
              <w:t>触电</w:t>
            </w:r>
          </w:p>
          <w:p>
            <w:pPr>
              <w:pStyle w:val="9"/>
              <w:spacing w:line="400" w:lineRule="exact"/>
              <w:rPr>
                <w:rFonts w:hint="eastAsia" w:ascii="宋体" w:hAnsi="宋体"/>
                <w:color w:val="auto"/>
                <w:kern w:val="2"/>
                <w:sz w:val="21"/>
                <w:szCs w:val="21"/>
              </w:rPr>
            </w:pPr>
            <w:r>
              <w:rPr>
                <w:rFonts w:hint="eastAsia" w:ascii="宋体" w:hAnsi="宋体"/>
                <w:color w:val="auto"/>
                <w:kern w:val="2"/>
                <w:sz w:val="21"/>
                <w:szCs w:val="21"/>
              </w:rPr>
              <w:t>一.主要技术方案</w:t>
            </w:r>
          </w:p>
          <w:p>
            <w:pPr>
              <w:pStyle w:val="9"/>
              <w:spacing w:line="400" w:lineRule="exact"/>
              <w:rPr>
                <w:rFonts w:hint="eastAsia" w:ascii="宋体" w:hAnsi="宋体"/>
                <w:color w:val="auto"/>
                <w:kern w:val="2"/>
                <w:sz w:val="21"/>
                <w:szCs w:val="21"/>
              </w:rPr>
            </w:pPr>
            <w:r>
              <w:rPr>
                <w:rFonts w:hint="eastAsia" w:ascii="宋体" w:hAnsi="宋体"/>
                <w:color w:val="auto"/>
                <w:kern w:val="2"/>
                <w:sz w:val="21"/>
                <w:szCs w:val="21"/>
              </w:rPr>
              <w:t>1.制定现场生产用电方案，每个工作箱配备漏电保护器，配备二次降压保护器，采用地埋戴K电缆线；测试区设置安全防护栏</w:t>
            </w:r>
          </w:p>
          <w:p>
            <w:pPr>
              <w:pStyle w:val="9"/>
              <w:spacing w:line="400" w:lineRule="exact"/>
              <w:rPr>
                <w:rFonts w:hint="eastAsia" w:ascii="宋体" w:hAnsi="宋体"/>
                <w:color w:val="auto"/>
                <w:kern w:val="2"/>
                <w:sz w:val="21"/>
                <w:szCs w:val="21"/>
              </w:rPr>
            </w:pPr>
            <w:r>
              <w:rPr>
                <w:rFonts w:hint="eastAsia" w:ascii="宋体" w:hAnsi="宋体"/>
                <w:color w:val="auto"/>
                <w:kern w:val="2"/>
                <w:sz w:val="21"/>
                <w:szCs w:val="21"/>
              </w:rPr>
              <w:t>2. 遵守安全用电规定，负责落实安全用电和安全用电的教育；</w:t>
            </w:r>
          </w:p>
          <w:p>
            <w:pPr>
              <w:pStyle w:val="9"/>
              <w:spacing w:line="400" w:lineRule="exact"/>
              <w:rPr>
                <w:rFonts w:hint="eastAsia" w:ascii="宋体" w:hAnsi="宋体"/>
                <w:color w:val="auto"/>
                <w:kern w:val="2"/>
                <w:sz w:val="21"/>
                <w:szCs w:val="21"/>
              </w:rPr>
            </w:pPr>
            <w:r>
              <w:rPr>
                <w:rFonts w:hint="eastAsia" w:ascii="宋体" w:hAnsi="宋体"/>
                <w:color w:val="auto"/>
                <w:kern w:val="2"/>
                <w:sz w:val="21"/>
                <w:szCs w:val="21"/>
              </w:rPr>
              <w:t>3.负责生产现场的电气设施符合要求，当不符合时负责采取改进措施</w:t>
            </w:r>
          </w:p>
          <w:p>
            <w:pPr>
              <w:pStyle w:val="9"/>
              <w:spacing w:line="400" w:lineRule="exact"/>
              <w:rPr>
                <w:rFonts w:hint="eastAsia" w:ascii="宋体" w:hAnsi="宋体"/>
                <w:color w:val="auto"/>
                <w:kern w:val="2"/>
                <w:sz w:val="21"/>
                <w:szCs w:val="21"/>
              </w:rPr>
            </w:pPr>
            <w:r>
              <w:rPr>
                <w:rFonts w:hint="eastAsia" w:ascii="宋体" w:hAnsi="宋体"/>
                <w:color w:val="auto"/>
                <w:kern w:val="2"/>
                <w:sz w:val="21"/>
                <w:szCs w:val="21"/>
              </w:rPr>
              <w:t>二.采取措施</w:t>
            </w:r>
          </w:p>
          <w:p>
            <w:pPr>
              <w:pStyle w:val="9"/>
              <w:spacing w:line="400" w:lineRule="exact"/>
              <w:rPr>
                <w:rFonts w:hint="eastAsia" w:ascii="宋体" w:hAnsi="宋体"/>
                <w:color w:val="auto"/>
                <w:kern w:val="2"/>
                <w:sz w:val="21"/>
                <w:szCs w:val="21"/>
              </w:rPr>
            </w:pPr>
            <w:r>
              <w:rPr>
                <w:rFonts w:hint="eastAsia" w:ascii="宋体" w:hAnsi="宋体"/>
                <w:color w:val="auto"/>
                <w:kern w:val="2"/>
                <w:sz w:val="21"/>
                <w:szCs w:val="21"/>
                <w:lang w:val="en-US" w:eastAsia="zh-CN"/>
              </w:rPr>
              <w:t>1、</w:t>
            </w:r>
            <w:r>
              <w:rPr>
                <w:rFonts w:hint="eastAsia" w:ascii="宋体" w:hAnsi="宋体"/>
                <w:color w:val="auto"/>
                <w:kern w:val="2"/>
                <w:sz w:val="21"/>
                <w:szCs w:val="21"/>
              </w:rPr>
              <w:t>全部电工接受上级部门培训，持证上岗；</w:t>
            </w:r>
          </w:p>
          <w:p>
            <w:pPr>
              <w:pStyle w:val="9"/>
              <w:spacing w:line="400" w:lineRule="exact"/>
              <w:rPr>
                <w:rFonts w:hint="eastAsia" w:ascii="宋体" w:hAnsi="宋体"/>
                <w:color w:val="auto"/>
                <w:kern w:val="2"/>
                <w:sz w:val="21"/>
                <w:szCs w:val="21"/>
              </w:rPr>
            </w:pPr>
            <w:r>
              <w:rPr>
                <w:rFonts w:hint="eastAsia" w:ascii="宋体" w:hAnsi="宋体"/>
                <w:color w:val="auto"/>
                <w:kern w:val="2"/>
                <w:sz w:val="21"/>
                <w:szCs w:val="21"/>
              </w:rPr>
              <w:t>2、认真贯彻执行《施工现场临时用电安全技术规范》（JGJ46-05）</w:t>
            </w:r>
          </w:p>
          <w:p>
            <w:pPr>
              <w:pStyle w:val="9"/>
              <w:spacing w:line="400" w:lineRule="exact"/>
              <w:rPr>
                <w:rFonts w:hint="eastAsia" w:ascii="宋体" w:hAnsi="宋体"/>
                <w:color w:val="auto"/>
                <w:kern w:val="2"/>
                <w:sz w:val="21"/>
                <w:szCs w:val="21"/>
              </w:rPr>
            </w:pPr>
            <w:r>
              <w:rPr>
                <w:rFonts w:hint="eastAsia" w:ascii="宋体" w:hAnsi="宋体"/>
                <w:color w:val="auto"/>
                <w:kern w:val="2"/>
                <w:sz w:val="21"/>
                <w:szCs w:val="21"/>
              </w:rPr>
              <w:t>3、加强带电设备的防护和检查，采用保护接地和保护接零并安装漏电保护器等。</w:t>
            </w:r>
          </w:p>
          <w:p>
            <w:pPr>
              <w:pStyle w:val="9"/>
              <w:spacing w:line="400" w:lineRule="exact"/>
              <w:rPr>
                <w:rFonts w:hint="eastAsia" w:ascii="宋体" w:hAnsi="宋体"/>
                <w:color w:val="auto"/>
                <w:kern w:val="2"/>
                <w:sz w:val="21"/>
                <w:szCs w:val="21"/>
              </w:rPr>
            </w:pPr>
            <w:r>
              <w:rPr>
                <w:rFonts w:hint="eastAsia" w:ascii="宋体" w:hAnsi="宋体"/>
                <w:color w:val="auto"/>
                <w:kern w:val="2"/>
                <w:sz w:val="21"/>
                <w:szCs w:val="21"/>
              </w:rPr>
              <w:t>移动式插座使用拖线绞盘配备有漏电保护器；测试区设置安全防护栏</w:t>
            </w:r>
          </w:p>
          <w:p>
            <w:pPr>
              <w:pStyle w:val="9"/>
              <w:numPr>
                <w:ilvl w:val="0"/>
                <w:numId w:val="1"/>
              </w:numPr>
              <w:spacing w:line="400" w:lineRule="exact"/>
              <w:rPr>
                <w:rFonts w:hint="eastAsia" w:ascii="宋体" w:hAnsi="宋体"/>
                <w:color w:val="auto"/>
                <w:kern w:val="2"/>
                <w:sz w:val="21"/>
                <w:szCs w:val="21"/>
              </w:rPr>
            </w:pPr>
            <w:r>
              <w:rPr>
                <w:rFonts w:hint="eastAsia" w:ascii="宋体" w:hAnsi="宋体"/>
                <w:color w:val="auto"/>
                <w:kern w:val="2"/>
                <w:sz w:val="21"/>
                <w:szCs w:val="21"/>
              </w:rPr>
              <w:t>检修作业保护应采用（文字、数字、符号、色彩）的警告牌警告其它人员正在检修，并穿戴好自已的绝缘鞋、手套等防护用品。</w:t>
            </w:r>
          </w:p>
          <w:p>
            <w:pPr>
              <w:pStyle w:val="9"/>
              <w:numPr>
                <w:ilvl w:val="0"/>
                <w:numId w:val="0"/>
              </w:numPr>
              <w:spacing w:line="400" w:lineRule="exact"/>
              <w:rPr>
                <w:rFonts w:hint="eastAsia" w:ascii="宋体" w:hAnsi="宋体"/>
                <w:color w:val="auto"/>
                <w:kern w:val="2"/>
                <w:sz w:val="21"/>
                <w:szCs w:val="21"/>
              </w:rPr>
            </w:pPr>
            <w:r>
              <w:rPr>
                <w:rFonts w:hint="eastAsia" w:ascii="宋体" w:hAnsi="宋体"/>
                <w:color w:val="auto"/>
                <w:kern w:val="2"/>
                <w:sz w:val="21"/>
                <w:szCs w:val="21"/>
              </w:rPr>
              <w:t>采取每个工作箱配备漏电保护器，配备二次降压保护器，使用符合要求的电缆线。测试区设置安全防护栏；未发生人员触电现象。</w:t>
            </w:r>
          </w:p>
          <w:p>
            <w:pPr>
              <w:pStyle w:val="9"/>
              <w:numPr>
                <w:ilvl w:val="0"/>
                <w:numId w:val="0"/>
              </w:numPr>
              <w:spacing w:line="400" w:lineRule="exact"/>
              <w:rPr>
                <w:rFonts w:hint="eastAsia" w:ascii="宋体" w:hAnsi="宋体" w:eastAsia="宋体"/>
                <w:color w:val="auto"/>
                <w:kern w:val="2"/>
                <w:sz w:val="21"/>
                <w:szCs w:val="21"/>
                <w:lang w:eastAsia="zh-CN"/>
              </w:rPr>
            </w:pPr>
            <w:r>
              <w:rPr>
                <w:rFonts w:hint="eastAsia" w:ascii="宋体" w:hAnsi="宋体"/>
                <w:color w:val="auto"/>
                <w:kern w:val="2"/>
                <w:sz w:val="21"/>
                <w:szCs w:val="21"/>
              </w:rPr>
              <w:t>20</w:t>
            </w:r>
            <w:r>
              <w:rPr>
                <w:rFonts w:hint="eastAsia" w:ascii="宋体" w:hAnsi="宋体"/>
                <w:color w:val="auto"/>
                <w:kern w:val="2"/>
                <w:sz w:val="21"/>
                <w:szCs w:val="21"/>
                <w:lang w:val="en-US" w:eastAsia="zh-CN"/>
              </w:rPr>
              <w:t>20</w:t>
            </w:r>
            <w:r>
              <w:rPr>
                <w:rFonts w:hint="eastAsia" w:ascii="宋体" w:hAnsi="宋体"/>
                <w:color w:val="auto"/>
                <w:kern w:val="2"/>
                <w:sz w:val="21"/>
                <w:szCs w:val="21"/>
              </w:rPr>
              <w:t>年</w:t>
            </w:r>
            <w:r>
              <w:rPr>
                <w:rFonts w:hint="eastAsia" w:ascii="宋体" w:hAnsi="宋体"/>
                <w:color w:val="auto"/>
                <w:kern w:val="2"/>
                <w:sz w:val="21"/>
                <w:szCs w:val="21"/>
                <w:lang w:val="en-US" w:eastAsia="zh-CN"/>
              </w:rPr>
              <w:t>6</w:t>
            </w:r>
            <w:r>
              <w:rPr>
                <w:rFonts w:hint="eastAsia" w:ascii="宋体" w:hAnsi="宋体"/>
                <w:color w:val="auto"/>
                <w:kern w:val="2"/>
                <w:sz w:val="21"/>
                <w:szCs w:val="21"/>
              </w:rPr>
              <w:t>月30日</w:t>
            </w:r>
            <w:r>
              <w:rPr>
                <w:rFonts w:hint="eastAsia" w:ascii="宋体" w:hAnsi="宋体"/>
                <w:color w:val="auto"/>
                <w:kern w:val="2"/>
                <w:sz w:val="21"/>
                <w:szCs w:val="21"/>
                <w:lang w:eastAsia="zh-CN"/>
              </w:rPr>
              <w:t>，</w:t>
            </w:r>
            <w:r>
              <w:rPr>
                <w:rFonts w:hint="eastAsia" w:ascii="宋体" w:hAnsi="宋体"/>
                <w:color w:val="auto"/>
                <w:kern w:val="2"/>
                <w:sz w:val="21"/>
                <w:szCs w:val="21"/>
              </w:rPr>
              <w:t>方案已实施,验证有效</w:t>
            </w:r>
            <w:r>
              <w:rPr>
                <w:rFonts w:hint="eastAsia" w:ascii="宋体" w:hAnsi="宋体"/>
                <w:color w:val="auto"/>
                <w:kern w:val="2"/>
                <w:sz w:val="21"/>
                <w:szCs w:val="21"/>
                <w:lang w:eastAsia="zh-CN"/>
              </w:rPr>
              <w:t>。</w:t>
            </w:r>
          </w:p>
          <w:p>
            <w:pPr>
              <w:pStyle w:val="9"/>
              <w:spacing w:line="400" w:lineRule="exact"/>
              <w:rPr>
                <w:rFonts w:hint="eastAsia" w:ascii="宋体" w:hAnsi="宋体" w:cs="宋体"/>
                <w:b/>
                <w:bCs/>
                <w:sz w:val="24"/>
              </w:rPr>
            </w:pPr>
            <w:r>
              <w:rPr>
                <w:rFonts w:hint="eastAsia" w:ascii="宋体" w:hAnsi="宋体" w:cs="宋体"/>
                <w:b/>
                <w:bCs/>
                <w:sz w:val="24"/>
              </w:rPr>
              <w:t xml:space="preserve">杜绝火灾事故 </w:t>
            </w:r>
          </w:p>
          <w:p>
            <w:pPr>
              <w:pStyle w:val="9"/>
              <w:numPr>
                <w:ilvl w:val="0"/>
                <w:numId w:val="0"/>
              </w:numPr>
              <w:spacing w:line="400" w:lineRule="exact"/>
              <w:rPr>
                <w:rFonts w:hint="eastAsia" w:ascii="宋体" w:hAnsi="宋体"/>
                <w:color w:val="auto"/>
                <w:kern w:val="2"/>
                <w:sz w:val="21"/>
                <w:szCs w:val="21"/>
              </w:rPr>
            </w:pPr>
            <w:r>
              <w:rPr>
                <w:rFonts w:hint="eastAsia" w:ascii="宋体" w:hAnsi="宋体"/>
                <w:color w:val="auto"/>
                <w:kern w:val="2"/>
                <w:sz w:val="21"/>
                <w:szCs w:val="21"/>
              </w:rPr>
              <w:t>一.主要技术方案</w:t>
            </w:r>
          </w:p>
          <w:p>
            <w:pPr>
              <w:pStyle w:val="9"/>
              <w:numPr>
                <w:ilvl w:val="0"/>
                <w:numId w:val="0"/>
              </w:numPr>
              <w:spacing w:line="400" w:lineRule="exact"/>
              <w:rPr>
                <w:rFonts w:hint="eastAsia" w:ascii="宋体" w:hAnsi="宋体"/>
                <w:color w:val="auto"/>
                <w:kern w:val="2"/>
                <w:sz w:val="21"/>
                <w:szCs w:val="21"/>
              </w:rPr>
            </w:pPr>
            <w:r>
              <w:rPr>
                <w:rFonts w:hint="eastAsia" w:ascii="宋体" w:hAnsi="宋体"/>
                <w:color w:val="auto"/>
                <w:kern w:val="2"/>
                <w:sz w:val="21"/>
                <w:szCs w:val="21"/>
              </w:rPr>
              <w:t>做好应急预案的编制、培训；配置适宜的消防器材，在安全场所设置安全标识,对相关人员进行安全知识的教育和消防器材应用演练,成立安全领导小组,对公司和现场进行定期和不定期的安全检查。消除隐患.</w:t>
            </w:r>
          </w:p>
          <w:p>
            <w:pPr>
              <w:pStyle w:val="9"/>
              <w:numPr>
                <w:ilvl w:val="0"/>
                <w:numId w:val="0"/>
              </w:numPr>
              <w:spacing w:line="400" w:lineRule="exact"/>
              <w:rPr>
                <w:rFonts w:hint="eastAsia" w:ascii="宋体" w:hAnsi="宋体"/>
                <w:color w:val="auto"/>
                <w:kern w:val="2"/>
                <w:sz w:val="21"/>
                <w:szCs w:val="21"/>
              </w:rPr>
            </w:pPr>
            <w:r>
              <w:rPr>
                <w:rFonts w:hint="eastAsia" w:ascii="宋体" w:hAnsi="宋体"/>
                <w:color w:val="auto"/>
                <w:kern w:val="2"/>
                <w:sz w:val="21"/>
                <w:szCs w:val="21"/>
              </w:rPr>
              <w:t>二.采取技术措施</w:t>
            </w:r>
          </w:p>
          <w:p>
            <w:pPr>
              <w:pStyle w:val="9"/>
              <w:numPr>
                <w:ilvl w:val="0"/>
                <w:numId w:val="0"/>
              </w:numPr>
              <w:spacing w:line="400" w:lineRule="exact"/>
              <w:rPr>
                <w:rFonts w:hint="eastAsia" w:ascii="宋体" w:hAnsi="宋体"/>
                <w:color w:val="auto"/>
                <w:kern w:val="2"/>
                <w:sz w:val="21"/>
                <w:szCs w:val="21"/>
              </w:rPr>
            </w:pPr>
            <w:r>
              <w:rPr>
                <w:rFonts w:hint="eastAsia" w:ascii="宋体" w:hAnsi="宋体"/>
                <w:color w:val="auto"/>
                <w:kern w:val="2"/>
                <w:sz w:val="21"/>
                <w:szCs w:val="21"/>
              </w:rPr>
              <w:t>1.组建义务消防队进行培训和演练</w:t>
            </w:r>
          </w:p>
          <w:p>
            <w:pPr>
              <w:pStyle w:val="9"/>
              <w:numPr>
                <w:ilvl w:val="0"/>
                <w:numId w:val="0"/>
              </w:numPr>
              <w:spacing w:line="400" w:lineRule="exact"/>
              <w:rPr>
                <w:rFonts w:hint="eastAsia" w:ascii="宋体" w:hAnsi="宋体"/>
                <w:color w:val="auto"/>
                <w:kern w:val="2"/>
                <w:sz w:val="21"/>
                <w:szCs w:val="21"/>
              </w:rPr>
            </w:pPr>
            <w:r>
              <w:rPr>
                <w:rFonts w:hint="eastAsia" w:ascii="宋体" w:hAnsi="宋体"/>
                <w:color w:val="auto"/>
                <w:kern w:val="2"/>
                <w:sz w:val="21"/>
                <w:szCs w:val="21"/>
              </w:rPr>
              <w:t>2.配置足够数量的消防设施</w:t>
            </w:r>
          </w:p>
          <w:p>
            <w:pPr>
              <w:pStyle w:val="9"/>
              <w:numPr>
                <w:ilvl w:val="0"/>
                <w:numId w:val="0"/>
              </w:numPr>
              <w:spacing w:line="400" w:lineRule="exact"/>
              <w:rPr>
                <w:rFonts w:hint="eastAsia" w:ascii="宋体" w:hAnsi="宋体"/>
                <w:color w:val="auto"/>
                <w:kern w:val="2"/>
                <w:sz w:val="21"/>
                <w:szCs w:val="21"/>
              </w:rPr>
            </w:pPr>
            <w:r>
              <w:rPr>
                <w:rFonts w:hint="eastAsia" w:ascii="宋体" w:hAnsi="宋体"/>
                <w:color w:val="auto"/>
                <w:kern w:val="2"/>
                <w:sz w:val="21"/>
                <w:szCs w:val="21"/>
              </w:rPr>
              <w:t>3.定期进行安全消防检查</w:t>
            </w:r>
          </w:p>
          <w:p>
            <w:pPr>
              <w:pStyle w:val="9"/>
              <w:numPr>
                <w:ilvl w:val="0"/>
                <w:numId w:val="0"/>
              </w:numPr>
              <w:spacing w:line="400" w:lineRule="exact"/>
              <w:rPr>
                <w:rFonts w:hint="eastAsia" w:ascii="宋体" w:hAnsi="宋体" w:eastAsia="宋体"/>
                <w:color w:val="auto"/>
                <w:kern w:val="2"/>
                <w:sz w:val="21"/>
                <w:szCs w:val="21"/>
                <w:lang w:eastAsia="zh-CN"/>
              </w:rPr>
            </w:pPr>
            <w:r>
              <w:rPr>
                <w:rFonts w:hint="eastAsia" w:ascii="宋体" w:hAnsi="宋体"/>
                <w:color w:val="auto"/>
                <w:kern w:val="2"/>
                <w:sz w:val="21"/>
                <w:szCs w:val="21"/>
              </w:rPr>
              <w:t>20</w:t>
            </w:r>
            <w:r>
              <w:rPr>
                <w:rFonts w:hint="eastAsia" w:ascii="宋体" w:hAnsi="宋体"/>
                <w:color w:val="auto"/>
                <w:kern w:val="2"/>
                <w:sz w:val="21"/>
                <w:szCs w:val="21"/>
                <w:lang w:val="en-US" w:eastAsia="zh-CN"/>
              </w:rPr>
              <w:t>20</w:t>
            </w:r>
            <w:r>
              <w:rPr>
                <w:rFonts w:hint="eastAsia" w:ascii="宋体" w:hAnsi="宋体"/>
                <w:color w:val="auto"/>
                <w:kern w:val="2"/>
                <w:sz w:val="21"/>
                <w:szCs w:val="21"/>
              </w:rPr>
              <w:t>年</w:t>
            </w:r>
            <w:r>
              <w:rPr>
                <w:rFonts w:hint="eastAsia" w:ascii="宋体" w:hAnsi="宋体"/>
                <w:color w:val="auto"/>
                <w:kern w:val="2"/>
                <w:sz w:val="21"/>
                <w:szCs w:val="21"/>
                <w:lang w:val="en-US" w:eastAsia="zh-CN"/>
              </w:rPr>
              <w:t>6</w:t>
            </w:r>
            <w:r>
              <w:rPr>
                <w:rFonts w:hint="eastAsia" w:ascii="宋体" w:hAnsi="宋体"/>
                <w:color w:val="auto"/>
                <w:kern w:val="2"/>
                <w:sz w:val="21"/>
                <w:szCs w:val="21"/>
              </w:rPr>
              <w:t>月30日</w:t>
            </w:r>
            <w:r>
              <w:rPr>
                <w:rFonts w:hint="eastAsia" w:ascii="宋体" w:hAnsi="宋体"/>
                <w:color w:val="auto"/>
                <w:kern w:val="2"/>
                <w:sz w:val="21"/>
                <w:szCs w:val="21"/>
                <w:lang w:eastAsia="zh-CN"/>
              </w:rPr>
              <w:t>，</w:t>
            </w:r>
            <w:r>
              <w:rPr>
                <w:rFonts w:hint="eastAsia" w:ascii="宋体" w:hAnsi="宋体"/>
                <w:color w:val="auto"/>
                <w:kern w:val="2"/>
                <w:sz w:val="21"/>
                <w:szCs w:val="21"/>
              </w:rPr>
              <w:t>方案已实施,验证有效</w:t>
            </w:r>
            <w:r>
              <w:rPr>
                <w:rFonts w:hint="eastAsia" w:ascii="宋体" w:hAnsi="宋体"/>
                <w:color w:val="auto"/>
                <w:kern w:val="2"/>
                <w:sz w:val="21"/>
                <w:szCs w:val="21"/>
                <w:lang w:eastAsia="zh-CN"/>
              </w:rPr>
              <w:t>。</w:t>
            </w:r>
          </w:p>
          <w:p>
            <w:pPr>
              <w:pStyle w:val="9"/>
              <w:spacing w:line="400" w:lineRule="exact"/>
              <w:rPr>
                <w:rFonts w:hint="eastAsia" w:ascii="宋体" w:hAnsi="宋体" w:cs="宋体"/>
                <w:b/>
                <w:bCs/>
                <w:sz w:val="24"/>
              </w:rPr>
            </w:pPr>
            <w:r>
              <w:rPr>
                <w:rFonts w:hint="eastAsia" w:ascii="宋体" w:hAnsi="宋体" w:cs="宋体"/>
                <w:b/>
                <w:bCs/>
                <w:szCs w:val="21"/>
              </w:rPr>
              <w:t>高温灼伤、机械伤害</w:t>
            </w:r>
          </w:p>
          <w:p>
            <w:pPr>
              <w:pStyle w:val="9"/>
              <w:numPr>
                <w:ilvl w:val="0"/>
                <w:numId w:val="0"/>
              </w:numPr>
              <w:spacing w:line="400" w:lineRule="exact"/>
              <w:rPr>
                <w:rFonts w:hint="eastAsia" w:ascii="宋体" w:hAnsi="宋体"/>
                <w:color w:val="auto"/>
                <w:kern w:val="2"/>
                <w:sz w:val="21"/>
                <w:szCs w:val="21"/>
              </w:rPr>
            </w:pPr>
            <w:r>
              <w:rPr>
                <w:rFonts w:hint="eastAsia" w:ascii="宋体" w:hAnsi="宋体"/>
                <w:color w:val="auto"/>
                <w:kern w:val="2"/>
                <w:sz w:val="21"/>
                <w:szCs w:val="21"/>
              </w:rPr>
              <w:t>一.主要技术方案</w:t>
            </w:r>
          </w:p>
          <w:p>
            <w:pPr>
              <w:pStyle w:val="9"/>
              <w:numPr>
                <w:ilvl w:val="0"/>
                <w:numId w:val="0"/>
              </w:numPr>
              <w:spacing w:line="400" w:lineRule="exact"/>
              <w:rPr>
                <w:rFonts w:hint="eastAsia" w:ascii="宋体" w:hAnsi="宋体"/>
                <w:color w:val="auto"/>
                <w:kern w:val="2"/>
                <w:sz w:val="21"/>
                <w:szCs w:val="21"/>
              </w:rPr>
            </w:pPr>
            <w:r>
              <w:rPr>
                <w:rFonts w:hint="eastAsia" w:ascii="宋体" w:hAnsi="宋体"/>
                <w:color w:val="auto"/>
                <w:kern w:val="2"/>
                <w:sz w:val="21"/>
                <w:szCs w:val="21"/>
              </w:rPr>
              <w:t>1.负责人向生产作业人员进行岗前操作指导和交底；</w:t>
            </w:r>
          </w:p>
          <w:p>
            <w:pPr>
              <w:pStyle w:val="9"/>
              <w:numPr>
                <w:ilvl w:val="0"/>
                <w:numId w:val="0"/>
              </w:numPr>
              <w:spacing w:line="400" w:lineRule="exact"/>
              <w:rPr>
                <w:rFonts w:hint="eastAsia" w:ascii="宋体" w:hAnsi="宋体"/>
                <w:color w:val="auto"/>
                <w:kern w:val="2"/>
                <w:sz w:val="21"/>
                <w:szCs w:val="21"/>
                <w:lang w:val="en-US" w:eastAsia="zh-CN"/>
              </w:rPr>
            </w:pPr>
            <w:r>
              <w:rPr>
                <w:rFonts w:hint="eastAsia" w:ascii="宋体" w:hAnsi="宋体"/>
                <w:color w:val="auto"/>
                <w:kern w:val="2"/>
                <w:sz w:val="21"/>
                <w:szCs w:val="21"/>
              </w:rPr>
              <w:t>2.负责对生产的</w:t>
            </w:r>
            <w:r>
              <w:rPr>
                <w:rFonts w:hint="eastAsia" w:ascii="宋体" w:hAnsi="宋体"/>
                <w:color w:val="auto"/>
                <w:kern w:val="2"/>
                <w:sz w:val="21"/>
                <w:szCs w:val="21"/>
                <w:lang w:val="en-US" w:eastAsia="zh-CN"/>
              </w:rPr>
              <w:t>冷室压铸机铝锭融化炉防护装置、立式转子压铸机、加工设备进行监督检查，发现隐患督促整改。</w:t>
            </w:r>
          </w:p>
          <w:p>
            <w:pPr>
              <w:pStyle w:val="9"/>
              <w:numPr>
                <w:ilvl w:val="0"/>
                <w:numId w:val="0"/>
              </w:numPr>
              <w:spacing w:line="400" w:lineRule="exact"/>
              <w:rPr>
                <w:rFonts w:hint="eastAsia" w:ascii="宋体" w:hAnsi="宋体"/>
                <w:color w:val="auto"/>
                <w:kern w:val="2"/>
                <w:sz w:val="21"/>
                <w:szCs w:val="21"/>
              </w:rPr>
            </w:pPr>
            <w:r>
              <w:rPr>
                <w:rFonts w:hint="eastAsia" w:ascii="宋体" w:hAnsi="宋体"/>
                <w:color w:val="auto"/>
                <w:kern w:val="2"/>
                <w:sz w:val="21"/>
                <w:szCs w:val="21"/>
                <w:lang w:val="en-US" w:eastAsia="zh-CN"/>
              </w:rPr>
              <w:t>3.负责对操作设备进行安检,使</w:t>
            </w:r>
            <w:r>
              <w:rPr>
                <w:rFonts w:hint="eastAsia" w:ascii="宋体" w:hAnsi="宋体"/>
                <w:color w:val="auto"/>
                <w:kern w:val="2"/>
                <w:sz w:val="21"/>
                <w:szCs w:val="21"/>
              </w:rPr>
              <w:t xml:space="preserve">用合格和有效的工具.对有隐患的工器具要杜绝使用. </w:t>
            </w:r>
          </w:p>
          <w:p>
            <w:pPr>
              <w:pStyle w:val="9"/>
              <w:numPr>
                <w:ilvl w:val="0"/>
                <w:numId w:val="0"/>
              </w:numPr>
              <w:spacing w:line="400" w:lineRule="exact"/>
              <w:rPr>
                <w:rFonts w:hint="eastAsia" w:ascii="宋体" w:hAnsi="宋体"/>
                <w:color w:val="auto"/>
                <w:kern w:val="2"/>
                <w:sz w:val="21"/>
                <w:szCs w:val="21"/>
              </w:rPr>
            </w:pPr>
            <w:r>
              <w:rPr>
                <w:rFonts w:hint="eastAsia" w:ascii="宋体" w:hAnsi="宋体"/>
                <w:color w:val="auto"/>
                <w:kern w:val="2"/>
                <w:sz w:val="21"/>
                <w:szCs w:val="21"/>
              </w:rPr>
              <w:t>二.采取措施</w:t>
            </w:r>
          </w:p>
          <w:p>
            <w:pPr>
              <w:pStyle w:val="9"/>
              <w:numPr>
                <w:ilvl w:val="0"/>
                <w:numId w:val="0"/>
              </w:numPr>
              <w:spacing w:line="400" w:lineRule="exact"/>
              <w:rPr>
                <w:rFonts w:hint="eastAsia" w:ascii="宋体" w:hAnsi="宋体"/>
                <w:color w:val="auto"/>
                <w:kern w:val="2"/>
                <w:sz w:val="21"/>
                <w:szCs w:val="21"/>
              </w:rPr>
            </w:pPr>
            <w:r>
              <w:rPr>
                <w:rFonts w:hint="eastAsia" w:ascii="宋体" w:hAnsi="宋体"/>
                <w:color w:val="auto"/>
                <w:kern w:val="2"/>
                <w:sz w:val="21"/>
                <w:szCs w:val="21"/>
              </w:rPr>
              <w:t>1、</w:t>
            </w:r>
            <w:r>
              <w:rPr>
                <w:rFonts w:hint="eastAsia" w:ascii="宋体" w:hAnsi="宋体"/>
                <w:color w:val="auto"/>
                <w:kern w:val="2"/>
                <w:sz w:val="21"/>
                <w:szCs w:val="21"/>
              </w:rPr>
              <w:tab/>
            </w:r>
            <w:r>
              <w:rPr>
                <w:rFonts w:hint="eastAsia" w:ascii="宋体" w:hAnsi="宋体"/>
                <w:color w:val="auto"/>
                <w:kern w:val="2"/>
                <w:sz w:val="21"/>
                <w:szCs w:val="21"/>
              </w:rPr>
              <w:t>加强对作业人员的安全技术培训和教育，提高作业人员的安全技能，安全意识，严格遵守安全操作规程，杜绝违章操作。</w:t>
            </w:r>
          </w:p>
          <w:p>
            <w:pPr>
              <w:pStyle w:val="9"/>
              <w:numPr>
                <w:ilvl w:val="0"/>
                <w:numId w:val="0"/>
              </w:numPr>
              <w:spacing w:line="400" w:lineRule="exact"/>
              <w:rPr>
                <w:rFonts w:hint="eastAsia" w:ascii="宋体" w:hAnsi="宋体"/>
                <w:color w:val="auto"/>
                <w:kern w:val="2"/>
                <w:sz w:val="21"/>
                <w:szCs w:val="21"/>
              </w:rPr>
            </w:pPr>
            <w:r>
              <w:rPr>
                <w:rFonts w:hint="eastAsia" w:ascii="宋体" w:hAnsi="宋体"/>
                <w:color w:val="auto"/>
                <w:kern w:val="2"/>
                <w:sz w:val="21"/>
                <w:szCs w:val="21"/>
              </w:rPr>
              <w:t>2、</w:t>
            </w:r>
            <w:r>
              <w:rPr>
                <w:rFonts w:hint="eastAsia" w:ascii="宋体" w:hAnsi="宋体"/>
                <w:color w:val="auto"/>
                <w:kern w:val="2"/>
                <w:sz w:val="21"/>
                <w:szCs w:val="21"/>
              </w:rPr>
              <w:tab/>
            </w:r>
            <w:r>
              <w:rPr>
                <w:rFonts w:hint="eastAsia" w:ascii="宋体" w:hAnsi="宋体"/>
                <w:color w:val="auto"/>
                <w:kern w:val="2"/>
                <w:sz w:val="21"/>
                <w:szCs w:val="21"/>
              </w:rPr>
              <w:t>对操作人员进行安全操作规程，技术培训，合格者颁发上岗证，持证上岗。</w:t>
            </w:r>
          </w:p>
          <w:p>
            <w:pPr>
              <w:pStyle w:val="9"/>
              <w:numPr>
                <w:ilvl w:val="0"/>
                <w:numId w:val="0"/>
              </w:numPr>
              <w:spacing w:line="400" w:lineRule="exact"/>
              <w:rPr>
                <w:rFonts w:hint="eastAsia" w:ascii="宋体" w:hAnsi="宋体"/>
                <w:color w:val="auto"/>
                <w:kern w:val="2"/>
                <w:sz w:val="21"/>
                <w:szCs w:val="21"/>
              </w:rPr>
            </w:pPr>
            <w:r>
              <w:rPr>
                <w:rFonts w:hint="eastAsia" w:ascii="宋体" w:hAnsi="宋体"/>
                <w:color w:val="auto"/>
                <w:kern w:val="2"/>
                <w:sz w:val="21"/>
                <w:szCs w:val="21"/>
              </w:rPr>
              <w:t>3、</w:t>
            </w:r>
            <w:r>
              <w:rPr>
                <w:rFonts w:hint="eastAsia" w:ascii="宋体" w:hAnsi="宋体"/>
                <w:color w:val="auto"/>
                <w:kern w:val="2"/>
                <w:sz w:val="21"/>
                <w:szCs w:val="21"/>
              </w:rPr>
              <w:tab/>
            </w:r>
            <w:r>
              <w:rPr>
                <w:rFonts w:hint="eastAsia" w:ascii="宋体" w:hAnsi="宋体"/>
                <w:color w:val="auto"/>
                <w:kern w:val="2"/>
                <w:sz w:val="21"/>
                <w:szCs w:val="21"/>
              </w:rPr>
              <w:t>坚持定期检查维修和日常保养，保证设备不“带病”运转，及时发现违反操作规程违章作业现象并加以纠正。</w:t>
            </w:r>
          </w:p>
          <w:p>
            <w:pPr>
              <w:spacing w:line="360" w:lineRule="auto"/>
              <w:jc w:val="left"/>
              <w:rPr>
                <w:rFonts w:hint="eastAsia" w:ascii="宋体" w:hAnsi="宋体" w:cs="宋体"/>
                <w:color w:val="000000"/>
                <w:sz w:val="21"/>
                <w:szCs w:val="21"/>
              </w:rPr>
            </w:pPr>
            <w:r>
              <w:rPr>
                <w:rFonts w:hint="eastAsia" w:ascii="宋体" w:hAnsi="宋体"/>
                <w:color w:val="auto"/>
                <w:kern w:val="2"/>
                <w:sz w:val="21"/>
                <w:szCs w:val="21"/>
                <w:lang w:val="en-US" w:eastAsia="zh-CN"/>
              </w:rPr>
              <w:t>以上管理方案有计划完成时间、实际完成时间、实施结果、验证情况等，通过执行相关的控制程序、管理制度、安全排查等方式对以上管理方案进行管理，定期对方案进行检查，检查结果，以上方案已完成或阶段性完成。</w:t>
            </w:r>
          </w:p>
        </w:tc>
        <w:tc>
          <w:tcPr>
            <w:tcW w:w="646" w:type="dxa"/>
            <w:vAlign w:val="center"/>
          </w:tcPr>
          <w:p>
            <w:pPr>
              <w:spacing w:line="360" w:lineRule="auto"/>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892" w:type="dxa"/>
            <w:vAlign w:val="center"/>
          </w:tcPr>
          <w:p>
            <w:pPr>
              <w:ind w:firstLine="210" w:firstLineChars="100"/>
              <w:rPr>
                <w:rFonts w:asciiTheme="minorEastAsia" w:hAnsiTheme="minorEastAsia" w:eastAsiaTheme="minorEastAsia"/>
                <w:szCs w:val="24"/>
              </w:rPr>
            </w:pPr>
            <w:r>
              <w:rPr>
                <w:rFonts w:hint="eastAsia" w:asciiTheme="minorEastAsia" w:hAnsiTheme="minorEastAsia" w:eastAsiaTheme="minorEastAsia"/>
                <w:szCs w:val="24"/>
              </w:rPr>
              <w:t>变更的策划</w:t>
            </w:r>
          </w:p>
        </w:tc>
        <w:tc>
          <w:tcPr>
            <w:tcW w:w="1228" w:type="dxa"/>
            <w:vAlign w:val="center"/>
          </w:tcPr>
          <w:p>
            <w:pPr>
              <w:rPr>
                <w:rFonts w:asciiTheme="minorEastAsia" w:hAnsiTheme="minorEastAsia" w:eastAsiaTheme="minorEastAsia"/>
                <w:szCs w:val="24"/>
              </w:rPr>
            </w:pPr>
            <w:r>
              <w:rPr>
                <w:rFonts w:hint="eastAsia" w:asciiTheme="minorEastAsia" w:hAnsiTheme="minorEastAsia" w:eastAsiaTheme="minorEastAsia"/>
                <w:szCs w:val="24"/>
              </w:rPr>
              <w:t>Q：6.3</w:t>
            </w:r>
          </w:p>
        </w:tc>
        <w:tc>
          <w:tcPr>
            <w:tcW w:w="10943" w:type="dxa"/>
            <w:vAlign w:val="center"/>
          </w:tcPr>
          <w:p>
            <w:pPr>
              <w:spacing w:line="360" w:lineRule="auto"/>
              <w:jc w:val="left"/>
              <w:rPr>
                <w:rFonts w:hint="eastAsia" w:ascii="Calibri" w:hAnsi="Calibri" w:cs="Times New Roman"/>
                <w:kern w:val="2"/>
                <w:sz w:val="21"/>
                <w:szCs w:val="24"/>
                <w:lang w:val="en-US" w:eastAsia="zh-CN" w:bidi="ar-SA"/>
              </w:rPr>
            </w:pPr>
            <w:r>
              <w:rPr>
                <w:rFonts w:hint="eastAsia" w:ascii="Calibri" w:hAnsi="Calibri" w:cs="Times New Roman"/>
                <w:kern w:val="2"/>
                <w:sz w:val="21"/>
                <w:szCs w:val="24"/>
                <w:lang w:val="en-US" w:eastAsia="zh-CN" w:bidi="ar-SA"/>
              </w:rPr>
              <w:t>查，公司的质量管理体系要求：当公司质量管理体系变更时，应考虑：</w:t>
            </w:r>
          </w:p>
          <w:p>
            <w:pPr>
              <w:spacing w:line="360" w:lineRule="auto"/>
              <w:jc w:val="left"/>
              <w:rPr>
                <w:rFonts w:hint="eastAsia" w:ascii="Calibri" w:hAnsi="Calibri" w:cs="Times New Roman"/>
                <w:kern w:val="2"/>
                <w:sz w:val="21"/>
                <w:szCs w:val="24"/>
                <w:lang w:val="en-US" w:eastAsia="zh-CN" w:bidi="ar-SA"/>
              </w:rPr>
            </w:pPr>
            <w:r>
              <w:rPr>
                <w:rFonts w:hint="eastAsia" w:ascii="Calibri" w:hAnsi="Calibri" w:cs="Times New Roman"/>
                <w:kern w:val="2"/>
                <w:sz w:val="21"/>
                <w:szCs w:val="24"/>
                <w:lang w:val="en-US" w:eastAsia="zh-CN" w:bidi="ar-SA"/>
              </w:rPr>
              <w:t>1.变更的目的及潜在后果；2.体系的完整性；3.资源的可获得性；</w:t>
            </w:r>
          </w:p>
          <w:p>
            <w:pPr>
              <w:spacing w:line="360" w:lineRule="auto"/>
              <w:rPr>
                <w:rFonts w:ascii="宋体" w:hAnsi="宋体" w:cs="宋体"/>
                <w:szCs w:val="21"/>
              </w:rPr>
            </w:pPr>
            <w:r>
              <w:rPr>
                <w:rFonts w:hint="eastAsia" w:ascii="Calibri" w:hAnsi="Calibri" w:cs="Times New Roman"/>
                <w:kern w:val="2"/>
                <w:sz w:val="21"/>
                <w:szCs w:val="24"/>
                <w:lang w:val="en-US" w:eastAsia="zh-CN" w:bidi="ar-SA"/>
              </w:rPr>
              <w:t>4.责权的分配和再分配等因素。经查：公司管理体系暂无变更。</w:t>
            </w:r>
          </w:p>
        </w:tc>
        <w:tc>
          <w:tcPr>
            <w:tcW w:w="646"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892" w:type="dxa"/>
            <w:vAlign w:val="center"/>
          </w:tcPr>
          <w:p>
            <w:pPr>
              <w:spacing w:line="360" w:lineRule="auto"/>
              <w:jc w:val="left"/>
              <w:rPr>
                <w:rFonts w:hint="eastAsia" w:ascii="宋体" w:hAnsi="宋体" w:eastAsia="宋体" w:cs="宋体"/>
                <w:kern w:val="2"/>
                <w:sz w:val="21"/>
                <w:szCs w:val="21"/>
                <w:lang w:val="en-US" w:eastAsia="zh-CN" w:bidi="ar-SA"/>
              </w:rPr>
            </w:pPr>
            <w:r>
              <w:rPr>
                <w:rFonts w:hint="eastAsia" w:ascii="仿宋" w:hAnsi="仿宋" w:eastAsia="仿宋"/>
                <w:sz w:val="24"/>
                <w:szCs w:val="24"/>
              </w:rPr>
              <w:t>资源提供情况</w:t>
            </w:r>
          </w:p>
        </w:tc>
        <w:tc>
          <w:tcPr>
            <w:tcW w:w="1228" w:type="dxa"/>
            <w:vAlign w:val="center"/>
          </w:tcPr>
          <w:p>
            <w:pPr>
              <w:pStyle w:val="17"/>
              <w:spacing w:line="400" w:lineRule="exact"/>
              <w:ind w:left="0" w:leftChars="0" w:firstLine="0" w:firstLineChars="0"/>
              <w:rPr>
                <w:rFonts w:hint="eastAsia" w:ascii="宋体" w:hAnsi="宋体"/>
                <w:szCs w:val="21"/>
                <w:lang w:val="en-US" w:eastAsia="zh-CN"/>
              </w:rPr>
            </w:pPr>
            <w:r>
              <w:rPr>
                <w:rFonts w:hint="eastAsia" w:ascii="宋体" w:hAnsi="宋体"/>
                <w:szCs w:val="21"/>
                <w:lang w:val="en-US" w:eastAsia="zh-CN"/>
              </w:rPr>
              <w:t>Q7.1.1</w:t>
            </w:r>
          </w:p>
          <w:p>
            <w:pPr>
              <w:pStyle w:val="17"/>
              <w:spacing w:line="400" w:lineRule="exact"/>
              <w:ind w:left="0" w:leftChars="0" w:firstLine="0" w:firstLineChars="0"/>
              <w:rPr>
                <w:rFonts w:hint="eastAsia" w:ascii="宋体" w:hAnsi="宋体" w:eastAsia="宋体" w:cs="宋体"/>
                <w:b/>
                <w:kern w:val="2"/>
                <w:sz w:val="21"/>
                <w:szCs w:val="21"/>
                <w:lang w:val="en-US" w:eastAsia="zh-CN" w:bidi="ar-SA"/>
              </w:rPr>
            </w:pPr>
            <w:r>
              <w:rPr>
                <w:rFonts w:hint="eastAsia" w:ascii="宋体" w:hAnsi="宋体"/>
                <w:szCs w:val="21"/>
                <w:lang w:val="en-US" w:eastAsia="zh-CN"/>
              </w:rPr>
              <w:t>S4.4.1</w:t>
            </w:r>
          </w:p>
        </w:tc>
        <w:tc>
          <w:tcPr>
            <w:tcW w:w="10943" w:type="dxa"/>
            <w:vAlign w:val="center"/>
          </w:tcPr>
          <w:p>
            <w:pPr>
              <w:pStyle w:val="17"/>
              <w:spacing w:line="400" w:lineRule="exact"/>
              <w:ind w:left="0" w:leftChars="0" w:firstLine="0" w:firstLineChars="0"/>
              <w:rPr>
                <w:rFonts w:hint="eastAsia" w:ascii="宋体" w:hAnsi="宋体"/>
                <w:szCs w:val="21"/>
                <w:lang w:val="en-US" w:eastAsia="zh-CN"/>
              </w:rPr>
            </w:pPr>
            <w:r>
              <w:rPr>
                <w:rFonts w:hint="eastAsia" w:ascii="宋体" w:hAnsi="宋体"/>
                <w:szCs w:val="21"/>
                <w:lang w:val="en-US" w:eastAsia="zh-CN"/>
              </w:rPr>
              <w:t>查问总经理，公司运行质量管理体系策划资源需求。</w:t>
            </w:r>
          </w:p>
          <w:p>
            <w:pPr>
              <w:pStyle w:val="17"/>
              <w:spacing w:line="400" w:lineRule="exact"/>
              <w:ind w:left="0" w:leftChars="0" w:firstLine="420" w:firstLineChars="200"/>
              <w:rPr>
                <w:rFonts w:hint="eastAsia" w:ascii="宋体" w:hAnsi="宋体"/>
                <w:szCs w:val="21"/>
                <w:lang w:val="en-US" w:eastAsia="zh-CN"/>
              </w:rPr>
            </w:pPr>
            <w:r>
              <w:rPr>
                <w:rFonts w:hint="eastAsia" w:ascii="宋体" w:hAnsi="宋体"/>
                <w:szCs w:val="21"/>
                <w:lang w:val="en-US" w:eastAsia="zh-CN"/>
              </w:rPr>
              <w:t>公司占地面积近4000平方米，建筑面积3000平方米，南通市南通州区兴仁镇阚庵东村2组，东侧洋兴公路、南</w:t>
            </w:r>
            <w:r>
              <w:rPr>
                <w:rFonts w:hint="eastAsia" w:ascii="宋体" w:hAnsi="宋体"/>
                <w:szCs w:val="21"/>
              </w:rPr>
              <w:t>侧</w:t>
            </w:r>
            <w:r>
              <w:rPr>
                <w:rFonts w:hint="eastAsia" w:ascii="宋体" w:hAnsi="宋体"/>
                <w:szCs w:val="21"/>
                <w:lang w:val="en-US" w:eastAsia="zh-CN"/>
              </w:rPr>
              <w:t>、北侧其他厂和西侧团结河；工房两个分别完成冲压件和</w:t>
            </w:r>
            <w:r>
              <w:rPr>
                <w:rFonts w:hint="eastAsia" w:ascii="宋体" w:hAnsi="宋体"/>
                <w:szCs w:val="21"/>
              </w:rPr>
              <w:t>铸铝</w:t>
            </w:r>
            <w:r>
              <w:rPr>
                <w:rFonts w:hint="eastAsia" w:ascii="宋体" w:hAnsi="宋体"/>
                <w:szCs w:val="21"/>
                <w:lang w:val="en-US" w:eastAsia="zh-CN"/>
              </w:rPr>
              <w:t>件压铸的工序，确定组织的管理体系范围无变化，基本适宜；</w:t>
            </w:r>
          </w:p>
          <w:p>
            <w:pPr>
              <w:pStyle w:val="17"/>
              <w:spacing w:line="400" w:lineRule="exact"/>
              <w:rPr>
                <w:rFonts w:hint="eastAsia" w:ascii="宋体" w:hAnsi="宋体"/>
                <w:szCs w:val="21"/>
                <w:lang w:val="en-US" w:eastAsia="zh-CN"/>
              </w:rPr>
            </w:pPr>
            <w:r>
              <w:rPr>
                <w:rFonts w:hint="eastAsia" w:ascii="宋体" w:hAnsi="宋体"/>
                <w:szCs w:val="21"/>
                <w:lang w:val="en-US" w:eastAsia="zh-CN"/>
              </w:rPr>
              <w:t>公司拥有厂房占地面积近5100平方米，建筑面积3000平方米，南通市南通州区四安镇外环西路18号，东侧、南</w:t>
            </w:r>
            <w:r>
              <w:rPr>
                <w:rFonts w:hint="eastAsia" w:ascii="宋体" w:hAnsi="宋体"/>
                <w:szCs w:val="21"/>
              </w:rPr>
              <w:t>侧</w:t>
            </w:r>
            <w:r>
              <w:rPr>
                <w:rFonts w:hint="eastAsia" w:ascii="宋体" w:hAnsi="宋体"/>
                <w:szCs w:val="21"/>
                <w:lang w:val="en-US" w:eastAsia="zh-CN"/>
              </w:rPr>
              <w:t>其他厂、北侧和西侧农田；配备16吨－200吨冲床、高速冲、定子压装、转子铸铝制造和维修设备等32台，其中63－160吨冲床19台，高速单槽冲床3台，100吨压铸机1台，40吨定子压装设备2台，冷室压铸机，</w:t>
            </w:r>
            <w:r>
              <w:rPr>
                <w:rFonts w:hint="eastAsia" w:ascii="宋体" w:hAnsi="宋体" w:cs="宋体"/>
                <w:color w:val="000000"/>
                <w:sz w:val="21"/>
                <w:szCs w:val="21"/>
                <w:lang w:val="en-US" w:eastAsia="zh-CN"/>
              </w:rPr>
              <w:t>监视和测量设备</w:t>
            </w:r>
            <w:r>
              <w:rPr>
                <w:rFonts w:hint="eastAsia" w:ascii="宋体" w:hAnsi="宋体" w:cs="宋体"/>
                <w:sz w:val="21"/>
                <w:szCs w:val="21"/>
                <w:lang w:val="en-US" w:eastAsia="zh-CN"/>
              </w:rPr>
              <w:t>有11台</w:t>
            </w:r>
            <w:r>
              <w:rPr>
                <w:rFonts w:hint="eastAsia" w:ascii="宋体" w:hAnsi="宋体"/>
                <w:szCs w:val="21"/>
                <w:lang w:val="en-US" w:eastAsia="zh-CN"/>
              </w:rPr>
              <w:t>，主要产品是金属冲压件冲片均为来料加工能满足现有产品加工。</w:t>
            </w:r>
          </w:p>
          <w:p>
            <w:pPr>
              <w:pStyle w:val="17"/>
              <w:spacing w:line="400" w:lineRule="exact"/>
              <w:ind w:left="0" w:leftChars="0" w:firstLine="420" w:firstLineChars="200"/>
              <w:rPr>
                <w:rFonts w:hint="eastAsia" w:ascii="宋体" w:hAnsi="宋体" w:eastAsia="宋体" w:cs="宋体"/>
                <w:color w:val="000000"/>
                <w:kern w:val="2"/>
                <w:sz w:val="21"/>
                <w:szCs w:val="21"/>
                <w:lang w:val="en-US" w:eastAsia="zh-CN" w:bidi="ar-SA"/>
              </w:rPr>
            </w:pPr>
            <w:r>
              <w:rPr>
                <w:rFonts w:hint="eastAsia" w:ascii="宋体" w:hAnsi="宋体"/>
                <w:szCs w:val="21"/>
                <w:lang w:val="en-US" w:eastAsia="zh-CN"/>
              </w:rPr>
              <w:t>公司人力资源和设备等资源的配置基本能满足目前生产和管理活动以及体系的要求。</w:t>
            </w:r>
          </w:p>
        </w:tc>
        <w:tc>
          <w:tcPr>
            <w:tcW w:w="646"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892" w:type="dxa"/>
            <w:vAlign w:val="center"/>
          </w:tcPr>
          <w:p>
            <w:pPr>
              <w:spacing w:line="360" w:lineRule="auto"/>
              <w:jc w:val="left"/>
              <w:rPr>
                <w:rFonts w:hint="eastAsia" w:ascii="宋体" w:hAnsi="宋体" w:cs="宋体"/>
                <w:color w:val="000000"/>
                <w:sz w:val="21"/>
                <w:szCs w:val="21"/>
              </w:rPr>
            </w:pPr>
            <w:r>
              <w:rPr>
                <w:rFonts w:hint="eastAsia" w:ascii="宋体" w:hAnsi="宋体" w:cs="宋体"/>
                <w:color w:val="000000"/>
                <w:sz w:val="21"/>
                <w:szCs w:val="21"/>
              </w:rPr>
              <w:t>沟通</w:t>
            </w:r>
          </w:p>
          <w:p>
            <w:pPr>
              <w:spacing w:line="360" w:lineRule="auto"/>
              <w:jc w:val="left"/>
              <w:rPr>
                <w:rFonts w:hint="eastAsia" w:ascii="宋体" w:hAnsi="宋体" w:eastAsia="宋体" w:cs="宋体"/>
                <w:kern w:val="2"/>
                <w:sz w:val="21"/>
                <w:szCs w:val="21"/>
                <w:lang w:val="en-US" w:eastAsia="zh-CN" w:bidi="ar-SA"/>
              </w:rPr>
            </w:pPr>
          </w:p>
        </w:tc>
        <w:tc>
          <w:tcPr>
            <w:tcW w:w="1228" w:type="dxa"/>
            <w:vAlign w:val="center"/>
          </w:tcPr>
          <w:p>
            <w:pPr>
              <w:adjustRightInd w:val="0"/>
              <w:snapToGrid w:val="0"/>
              <w:spacing w:line="360" w:lineRule="auto"/>
              <w:rPr>
                <w:rFonts w:hint="eastAsia" w:ascii="宋体" w:hAnsi="宋体" w:cs="宋体"/>
                <w:sz w:val="21"/>
                <w:szCs w:val="21"/>
              </w:rPr>
            </w:pPr>
            <w:r>
              <w:rPr>
                <w:rFonts w:hint="eastAsia" w:ascii="宋体" w:hAnsi="宋体" w:cs="宋体"/>
                <w:sz w:val="21"/>
                <w:szCs w:val="21"/>
              </w:rPr>
              <w:t>Q7.4</w:t>
            </w:r>
          </w:p>
          <w:p>
            <w:pPr>
              <w:adjustRightInd w:val="0"/>
              <w:snapToGrid w:val="0"/>
              <w:spacing w:line="360" w:lineRule="auto"/>
              <w:rPr>
                <w:rFonts w:hint="eastAsia" w:ascii="宋体" w:hAnsi="宋体" w:eastAsia="宋体" w:cs="宋体"/>
                <w:b/>
                <w:kern w:val="2"/>
                <w:sz w:val="21"/>
                <w:szCs w:val="21"/>
                <w:lang w:val="en-US" w:eastAsia="zh-CN" w:bidi="ar-SA"/>
              </w:rPr>
            </w:pPr>
            <w:r>
              <w:rPr>
                <w:rFonts w:hint="eastAsia" w:ascii="宋体" w:hAnsi="宋体" w:cs="宋体"/>
                <w:sz w:val="21"/>
                <w:szCs w:val="21"/>
              </w:rPr>
              <w:t>S4.4.3</w:t>
            </w:r>
          </w:p>
        </w:tc>
        <w:tc>
          <w:tcPr>
            <w:tcW w:w="10943" w:type="dxa"/>
            <w:vAlign w:val="center"/>
          </w:tcPr>
          <w:p>
            <w:pPr>
              <w:adjustRightInd w:val="0"/>
              <w:snapToGrid w:val="0"/>
              <w:spacing w:line="360" w:lineRule="auto"/>
              <w:rPr>
                <w:rFonts w:hint="eastAsia" w:ascii="宋体" w:hAnsi="宋体" w:cs="宋体"/>
                <w:sz w:val="21"/>
                <w:szCs w:val="21"/>
              </w:rPr>
            </w:pPr>
            <w:r>
              <w:rPr>
                <w:rFonts w:hint="eastAsia" w:ascii="宋体" w:hAnsi="宋体" w:cs="宋体"/>
                <w:sz w:val="21"/>
                <w:szCs w:val="21"/>
              </w:rPr>
              <w:t>在公司内部主要采用口头、电话、会议、面谈等形式就与运输服务有关问题及与质量管理体系有关问题进行沟通，基本有效。未发生由于沟通不到位而影响工作的情况。</w:t>
            </w:r>
          </w:p>
          <w:p>
            <w:pPr>
              <w:adjustRightInd w:val="0"/>
              <w:snapToGrid w:val="0"/>
              <w:spacing w:line="360" w:lineRule="auto"/>
              <w:rPr>
                <w:rFonts w:hint="eastAsia" w:ascii="宋体" w:hAnsi="宋体" w:cs="宋体"/>
                <w:sz w:val="21"/>
                <w:szCs w:val="21"/>
              </w:rPr>
            </w:pPr>
            <w:r>
              <w:rPr>
                <w:rFonts w:hint="eastAsia" w:ascii="宋体" w:hAnsi="宋体" w:cs="宋体"/>
                <w:sz w:val="21"/>
                <w:szCs w:val="21"/>
              </w:rPr>
              <w:t xml:space="preserve">    相关方的沟通主要体现在和顾客的沟通方面，经常性的对顾客进行走访，了解顾客的意见。</w:t>
            </w:r>
          </w:p>
          <w:p>
            <w:pPr>
              <w:adjustRightInd w:val="0"/>
              <w:snapToGrid w:val="0"/>
              <w:spacing w:line="360" w:lineRule="auto"/>
              <w:rPr>
                <w:rFonts w:hint="eastAsia" w:ascii="宋体" w:hAnsi="宋体" w:cs="宋体"/>
                <w:sz w:val="21"/>
                <w:szCs w:val="21"/>
              </w:rPr>
            </w:pPr>
            <w:r>
              <w:rPr>
                <w:rFonts w:hint="eastAsia" w:ascii="宋体" w:hAnsi="宋体" w:cs="宋体"/>
                <w:sz w:val="21"/>
                <w:szCs w:val="21"/>
                <w:lang w:val="en-US" w:eastAsia="zh-CN"/>
              </w:rPr>
              <w:t>产品订合同</w:t>
            </w:r>
            <w:r>
              <w:rPr>
                <w:rFonts w:hint="eastAsia" w:ascii="宋体" w:hAnsi="宋体" w:cs="宋体"/>
                <w:sz w:val="21"/>
                <w:szCs w:val="21"/>
              </w:rPr>
              <w:t>前：走访顾客、电话沟通、了解相关顾客需求信息等，</w:t>
            </w:r>
            <w:r>
              <w:rPr>
                <w:rFonts w:hint="eastAsia" w:ascii="宋体" w:hAnsi="宋体" w:cs="宋体"/>
                <w:sz w:val="21"/>
                <w:szCs w:val="21"/>
                <w:lang w:val="en-US" w:eastAsia="zh-CN"/>
              </w:rPr>
              <w:t>确定产品图纸、公差要求、原材料及成品验收</w:t>
            </w:r>
            <w:r>
              <w:rPr>
                <w:rFonts w:hint="eastAsia" w:ascii="宋体" w:hAnsi="宋体" w:cs="宋体"/>
                <w:sz w:val="21"/>
                <w:szCs w:val="21"/>
                <w:lang w:eastAsia="zh-CN"/>
              </w:rPr>
              <w:t>、</w:t>
            </w:r>
            <w:r>
              <w:rPr>
                <w:rFonts w:hint="eastAsia" w:ascii="宋体" w:hAnsi="宋体" w:cs="宋体"/>
                <w:sz w:val="21"/>
                <w:szCs w:val="21"/>
              </w:rPr>
              <w:t>交付期</w:t>
            </w:r>
            <w:r>
              <w:rPr>
                <w:rFonts w:hint="eastAsia" w:ascii="宋体" w:hAnsi="宋体" w:cs="宋体"/>
                <w:sz w:val="21"/>
                <w:szCs w:val="21"/>
                <w:lang w:val="en-US" w:eastAsia="zh-CN"/>
              </w:rPr>
              <w:t>等事宜。生产过程中，</w:t>
            </w:r>
            <w:r>
              <w:rPr>
                <w:rFonts w:hint="eastAsia" w:ascii="宋体" w:hAnsi="宋体" w:cs="宋体"/>
                <w:sz w:val="21"/>
                <w:szCs w:val="21"/>
              </w:rPr>
              <w:t>解决人员技能培训、上岗要求等关切问题；</w:t>
            </w:r>
          </w:p>
          <w:p>
            <w:pPr>
              <w:adjustRightInd w:val="0"/>
              <w:snapToGrid w:val="0"/>
              <w:spacing w:line="360" w:lineRule="auto"/>
              <w:rPr>
                <w:rFonts w:hint="eastAsia" w:ascii="宋体" w:hAnsi="宋体" w:cs="宋体"/>
                <w:sz w:val="21"/>
                <w:szCs w:val="21"/>
              </w:rPr>
            </w:pPr>
            <w:r>
              <w:rPr>
                <w:rFonts w:hint="eastAsia" w:ascii="宋体" w:hAnsi="宋体" w:cs="宋体"/>
                <w:sz w:val="21"/>
                <w:szCs w:val="21"/>
              </w:rPr>
              <w:t>交付后：与客户保持密切沟通，不定期回访用户，并对顾客反馈问题解答。针对存在的问题及时进行处理。定期发放顾客满意度调查，了解顾客满意或不满意的信息，并积极应对，确保顾客满意。</w:t>
            </w:r>
          </w:p>
          <w:p>
            <w:pPr>
              <w:adjustRightInd w:val="0"/>
              <w:snapToGrid w:val="0"/>
              <w:spacing w:line="360" w:lineRule="auto"/>
              <w:rPr>
                <w:rFonts w:hint="eastAsia" w:ascii="宋体" w:hAnsi="宋体" w:cs="宋体"/>
                <w:sz w:val="21"/>
                <w:szCs w:val="21"/>
              </w:rPr>
            </w:pPr>
            <w:r>
              <w:rPr>
                <w:rFonts w:hint="eastAsia" w:ascii="宋体" w:hAnsi="宋体" w:cs="宋体"/>
                <w:sz w:val="21"/>
                <w:szCs w:val="21"/>
              </w:rPr>
              <w:t>对顾客一般提出的问题，由专业相关人员负责解决。</w:t>
            </w:r>
          </w:p>
          <w:p>
            <w:pPr>
              <w:adjustRightInd w:val="0"/>
              <w:snapToGrid w:val="0"/>
              <w:spacing w:line="360" w:lineRule="auto"/>
              <w:rPr>
                <w:rFonts w:hint="eastAsia" w:ascii="宋体" w:hAnsi="宋体" w:cs="宋体"/>
                <w:sz w:val="21"/>
                <w:szCs w:val="21"/>
              </w:rPr>
            </w:pPr>
            <w:r>
              <w:rPr>
                <w:rFonts w:hint="eastAsia" w:ascii="宋体" w:hAnsi="宋体" w:cs="宋体"/>
                <w:sz w:val="21"/>
                <w:szCs w:val="21"/>
              </w:rPr>
              <w:t>自体系运行以来，没有发生</w:t>
            </w:r>
            <w:r>
              <w:rPr>
                <w:rFonts w:hint="eastAsia" w:ascii="宋体" w:hAnsi="宋体" w:cs="宋体"/>
                <w:sz w:val="21"/>
                <w:szCs w:val="21"/>
                <w:lang w:val="en-US" w:eastAsia="zh-CN"/>
              </w:rPr>
              <w:t>产品质量</w:t>
            </w:r>
            <w:r>
              <w:rPr>
                <w:rFonts w:hint="eastAsia" w:ascii="宋体" w:hAnsi="宋体" w:cs="宋体"/>
                <w:sz w:val="21"/>
                <w:szCs w:val="21"/>
              </w:rPr>
              <w:t>的顾客投诉事件。</w:t>
            </w:r>
          </w:p>
          <w:p>
            <w:pPr>
              <w:adjustRightInd w:val="0"/>
              <w:snapToGrid w:val="0"/>
              <w:spacing w:line="360" w:lineRule="auto"/>
              <w:rPr>
                <w:rFonts w:hint="eastAsia" w:ascii="宋体" w:hAnsi="宋体" w:cs="宋体"/>
                <w:sz w:val="21"/>
                <w:szCs w:val="21"/>
              </w:rPr>
            </w:pPr>
            <w:r>
              <w:rPr>
                <w:rFonts w:hint="eastAsia" w:ascii="宋体" w:hAnsi="宋体" w:cs="宋体"/>
                <w:sz w:val="21"/>
                <w:szCs w:val="21"/>
                <w:lang w:val="en-US" w:eastAsia="zh-CN"/>
              </w:rPr>
              <w:t>同时</w:t>
            </w:r>
            <w:r>
              <w:rPr>
                <w:rFonts w:hint="eastAsia" w:ascii="宋体" w:hAnsi="宋体" w:cs="宋体"/>
                <w:sz w:val="21"/>
                <w:szCs w:val="21"/>
              </w:rPr>
              <w:t>总经理清楚公司及各部门与职业健康安全相关的内部沟通和外部信息交流的项目、内容等。如：公布、公开方针和目标、与客户、外部供方等相关产品和服务的沟通等。</w:t>
            </w:r>
          </w:p>
          <w:p>
            <w:pPr>
              <w:adjustRightInd w:val="0"/>
              <w:snapToGrid w:val="0"/>
              <w:spacing w:line="360" w:lineRule="auto"/>
              <w:rPr>
                <w:rFonts w:hint="eastAsia" w:ascii="宋体" w:hAnsi="宋体" w:cs="宋体"/>
                <w:sz w:val="21"/>
                <w:szCs w:val="21"/>
              </w:rPr>
            </w:pPr>
            <w:r>
              <w:rPr>
                <w:rFonts w:hint="eastAsia" w:ascii="宋体" w:hAnsi="宋体" w:cs="宋体"/>
                <w:sz w:val="21"/>
                <w:szCs w:val="21"/>
              </w:rPr>
              <w:t>--主要的事项内、外沟通均事先做出策划或规定，内容包括：沟通事项、沟通的职责、沟通对象、沟通内容、沟通时机、沟通方式等等。</w:t>
            </w:r>
          </w:p>
          <w:p>
            <w:pPr>
              <w:adjustRightInd w:val="0"/>
              <w:snapToGrid w:val="0"/>
              <w:spacing w:line="360" w:lineRule="auto"/>
              <w:rPr>
                <w:rFonts w:hint="eastAsia" w:ascii="宋体" w:hAnsi="宋体" w:cs="宋体"/>
                <w:sz w:val="21"/>
                <w:szCs w:val="21"/>
              </w:rPr>
            </w:pPr>
            <w:r>
              <w:rPr>
                <w:rFonts w:hint="eastAsia" w:ascii="宋体" w:hAnsi="宋体" w:cs="宋体"/>
                <w:sz w:val="21"/>
                <w:szCs w:val="21"/>
              </w:rPr>
              <w:t>--通常的沟通方式包括但不限于：会议、文件、改善提案、通告、内部联络书、内部电脑网络、培训、拜访、交谈、提交报告等。</w:t>
            </w:r>
          </w:p>
          <w:p>
            <w:pPr>
              <w:adjustRightInd w:val="0"/>
              <w:snapToGrid w:val="0"/>
              <w:spacing w:line="360" w:lineRule="auto"/>
              <w:rPr>
                <w:rFonts w:hint="eastAsia" w:ascii="宋体" w:hAnsi="宋体" w:eastAsia="宋体" w:cs="宋体"/>
                <w:color w:val="000000"/>
                <w:kern w:val="2"/>
                <w:sz w:val="21"/>
                <w:szCs w:val="21"/>
                <w:lang w:val="en-US" w:eastAsia="zh-CN" w:bidi="ar-SA"/>
              </w:rPr>
            </w:pPr>
            <w:r>
              <w:rPr>
                <w:rFonts w:hint="eastAsia" w:ascii="宋体" w:hAnsi="宋体" w:cs="宋体"/>
                <w:sz w:val="21"/>
                <w:szCs w:val="21"/>
              </w:rPr>
              <w:t>--现场查看记录并口头交流确认：公司及</w:t>
            </w:r>
            <w:r>
              <w:rPr>
                <w:rFonts w:hint="eastAsia" w:ascii="宋体" w:hAnsi="宋体" w:cs="宋体"/>
                <w:sz w:val="21"/>
                <w:szCs w:val="21"/>
                <w:lang w:eastAsia="zh-CN"/>
              </w:rPr>
              <w:t>综合部</w:t>
            </w:r>
            <w:r>
              <w:rPr>
                <w:rFonts w:hint="eastAsia" w:ascii="宋体" w:hAnsi="宋体" w:cs="宋体"/>
                <w:sz w:val="21"/>
                <w:szCs w:val="21"/>
              </w:rPr>
              <w:t>负责的相关内、外沟通效果基本满足要求。</w:t>
            </w:r>
          </w:p>
        </w:tc>
        <w:tc>
          <w:tcPr>
            <w:tcW w:w="646"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92" w:type="dxa"/>
            <w:vAlign w:val="top"/>
          </w:tcPr>
          <w:p>
            <w:pPr>
              <w:adjustRightInd w:val="0"/>
              <w:snapToGrid w:val="0"/>
              <w:spacing w:line="360" w:lineRule="auto"/>
              <w:jc w:val="left"/>
              <w:rPr>
                <w:rFonts w:hint="eastAsia" w:ascii="宋体" w:hAnsi="宋体" w:eastAsia="宋体" w:cs="宋体"/>
                <w:sz w:val="21"/>
                <w:szCs w:val="21"/>
              </w:rPr>
            </w:pPr>
          </w:p>
          <w:p>
            <w:pPr>
              <w:adjustRightInd w:val="0"/>
              <w:snapToGrid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rPr>
              <w:t>监测、分析和评价总则；</w:t>
            </w:r>
          </w:p>
        </w:tc>
        <w:tc>
          <w:tcPr>
            <w:tcW w:w="1228" w:type="dxa"/>
            <w:vAlign w:val="top"/>
          </w:tcPr>
          <w:p>
            <w:pPr>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rPr>
            </w:pPr>
            <w:r>
              <w:rPr>
                <w:rFonts w:hint="eastAsia" w:ascii="宋体" w:hAnsi="宋体" w:eastAsia="宋体" w:cs="宋体"/>
                <w:sz w:val="21"/>
                <w:szCs w:val="21"/>
              </w:rPr>
              <w:t>Q</w:t>
            </w:r>
            <w:r>
              <w:rPr>
                <w:rFonts w:hint="eastAsia" w:ascii="宋体" w:hAnsi="宋体" w:eastAsia="宋体" w:cs="宋体"/>
                <w:sz w:val="21"/>
                <w:szCs w:val="21"/>
                <w:lang w:eastAsia="zh-CN"/>
              </w:rPr>
              <w:t>：</w:t>
            </w:r>
            <w:r>
              <w:rPr>
                <w:rFonts w:hint="eastAsia" w:ascii="宋体" w:hAnsi="宋体" w:eastAsia="宋体" w:cs="宋体"/>
                <w:sz w:val="21"/>
                <w:szCs w:val="21"/>
              </w:rPr>
              <w:t xml:space="preserve">9.1.1 </w:t>
            </w:r>
          </w:p>
          <w:p>
            <w:pPr>
              <w:spacing w:line="360" w:lineRule="auto"/>
              <w:rPr>
                <w:rFonts w:hint="eastAsia" w:ascii="宋体" w:hAnsi="宋体" w:eastAsia="宋体" w:cs="宋体"/>
                <w:kern w:val="2"/>
                <w:sz w:val="21"/>
                <w:szCs w:val="21"/>
                <w:lang w:val="en-US" w:eastAsia="zh-CN" w:bidi="ar-SA"/>
              </w:rPr>
            </w:pPr>
          </w:p>
        </w:tc>
        <w:tc>
          <w:tcPr>
            <w:tcW w:w="10943" w:type="dxa"/>
            <w:vAlign w:val="top"/>
          </w:tcPr>
          <w:p>
            <w:pPr>
              <w:tabs>
                <w:tab w:val="center" w:pos="3169"/>
              </w:tabs>
              <w:spacing w:line="360" w:lineRule="auto"/>
              <w:ind w:firstLine="420" w:firstLineChars="200"/>
              <w:jc w:val="left"/>
              <w:rPr>
                <w:rFonts w:hint="eastAsia" w:ascii="宋体" w:hAnsi="宋体" w:eastAsia="宋体" w:cs="宋体"/>
                <w:kern w:val="2"/>
                <w:sz w:val="21"/>
                <w:szCs w:val="21"/>
                <w:lang w:val="en-US" w:eastAsia="zh-CN" w:bidi="ar"/>
              </w:rPr>
            </w:pPr>
            <w:r>
              <w:rPr>
                <w:rFonts w:hint="eastAsia" w:ascii="宋体" w:hAnsi="宋体" w:cs="宋体"/>
                <w:sz w:val="21"/>
                <w:szCs w:val="21"/>
              </w:rPr>
              <w:t>对整个质量管理体系过程进行的监视和测量，主要通过内审、管理评审对服务过程进行监视，通过质量目标的定期考核对目标完成情况进行监测。查质量手册，规定了服务实现全过程的监视和测量方法、形式：评审准备活动、人员培训、</w:t>
            </w:r>
            <w:r>
              <w:rPr>
                <w:rFonts w:hint="eastAsia" w:ascii="宋体" w:hAnsi="宋体" w:cs="宋体"/>
                <w:sz w:val="21"/>
                <w:szCs w:val="21"/>
                <w:lang w:val="en-US" w:eastAsia="zh-CN"/>
              </w:rPr>
              <w:t>产品生产</w:t>
            </w:r>
            <w:r>
              <w:rPr>
                <w:rFonts w:hint="eastAsia" w:ascii="宋体" w:hAnsi="宋体" w:cs="宋体"/>
                <w:sz w:val="21"/>
                <w:szCs w:val="21"/>
              </w:rPr>
              <w:t>过程等监视和测量。通过日常与顾客沟通，反馈问题等来实现对整体情况的掌控，对日常发现的问题进行改进等。</w:t>
            </w:r>
            <w:r>
              <w:rPr>
                <w:rFonts w:hint="eastAsia" w:ascii="宋体" w:hAnsi="宋体" w:cs="宋体"/>
                <w:sz w:val="21"/>
                <w:szCs w:val="21"/>
                <w:lang w:val="en-US" w:eastAsia="zh-CN"/>
              </w:rPr>
              <w:t>查《监视和测量设备台帐及周检计划表》有11台，证书情况见其他审核记录。</w:t>
            </w:r>
          </w:p>
        </w:tc>
        <w:tc>
          <w:tcPr>
            <w:tcW w:w="646" w:type="dxa"/>
            <w:vAlign w:val="center"/>
          </w:tcPr>
          <w:p>
            <w:pPr>
              <w:rPr>
                <w:rFonts w:hint="eastAsia"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892" w:type="dxa"/>
            <w:vAlign w:val="center"/>
          </w:tcPr>
          <w:p>
            <w:pPr>
              <w:spacing w:line="360" w:lineRule="auto"/>
              <w:rPr>
                <w:rFonts w:hint="eastAsia" w:ascii="宋体" w:hAnsi="宋体" w:cs="宋体"/>
                <w:bCs/>
                <w:color w:val="000000"/>
                <w:sz w:val="21"/>
                <w:szCs w:val="21"/>
              </w:rPr>
            </w:pPr>
            <w:r>
              <w:rPr>
                <w:rFonts w:hint="eastAsia" w:ascii="宋体" w:hAnsi="宋体" w:cs="宋体"/>
                <w:bCs/>
                <w:color w:val="000000"/>
                <w:sz w:val="21"/>
                <w:szCs w:val="21"/>
              </w:rPr>
              <w:t>分析和评价</w:t>
            </w:r>
          </w:p>
          <w:p>
            <w:pPr>
              <w:spacing w:line="360" w:lineRule="auto"/>
              <w:jc w:val="left"/>
              <w:rPr>
                <w:rFonts w:hint="eastAsia" w:ascii="宋体" w:hAnsi="宋体" w:eastAsia="宋体" w:cs="宋体"/>
                <w:sz w:val="21"/>
                <w:szCs w:val="21"/>
              </w:rPr>
            </w:pPr>
          </w:p>
        </w:tc>
        <w:tc>
          <w:tcPr>
            <w:tcW w:w="1228" w:type="dxa"/>
            <w:vAlign w:val="center"/>
          </w:tcPr>
          <w:p>
            <w:pPr>
              <w:spacing w:line="360" w:lineRule="auto"/>
              <w:jc w:val="left"/>
              <w:rPr>
                <w:rFonts w:hint="eastAsia" w:ascii="宋体" w:hAnsi="宋体" w:cs="宋体"/>
                <w:color w:val="000000"/>
                <w:sz w:val="21"/>
                <w:szCs w:val="21"/>
              </w:rPr>
            </w:pPr>
            <w:r>
              <w:rPr>
                <w:rFonts w:hint="eastAsia" w:ascii="宋体" w:hAnsi="宋体" w:cs="宋体"/>
                <w:color w:val="000000"/>
                <w:sz w:val="21"/>
                <w:szCs w:val="21"/>
              </w:rPr>
              <w:t>Q</w:t>
            </w:r>
            <w:r>
              <w:rPr>
                <w:rFonts w:hint="eastAsia" w:ascii="宋体" w:hAnsi="宋体" w:cs="宋体"/>
                <w:color w:val="000000"/>
                <w:sz w:val="21"/>
                <w:szCs w:val="21"/>
                <w:lang w:eastAsia="zh-CN"/>
              </w:rPr>
              <w:t>：</w:t>
            </w:r>
            <w:r>
              <w:rPr>
                <w:rFonts w:hint="eastAsia" w:ascii="宋体" w:hAnsi="宋体" w:cs="宋体"/>
                <w:color w:val="000000"/>
                <w:sz w:val="21"/>
                <w:szCs w:val="21"/>
              </w:rPr>
              <w:t>9.1.3</w:t>
            </w:r>
          </w:p>
          <w:p>
            <w:pPr>
              <w:rPr>
                <w:rFonts w:hint="eastAsia" w:ascii="宋体" w:hAnsi="宋体" w:eastAsia="宋体" w:cs="宋体"/>
                <w:kern w:val="2"/>
                <w:sz w:val="21"/>
                <w:szCs w:val="21"/>
                <w:lang w:val="en-US" w:eastAsia="zh-CN" w:bidi="ar-SA"/>
              </w:rPr>
            </w:pPr>
          </w:p>
        </w:tc>
        <w:tc>
          <w:tcPr>
            <w:tcW w:w="10943" w:type="dxa"/>
            <w:vAlign w:val="center"/>
          </w:tcPr>
          <w:p>
            <w:p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 xml:space="preserve">1.质量手册及相关文件中对收集过程、体系数据的范围、类型、统计方法进行了规定。 </w:t>
            </w:r>
          </w:p>
          <w:p>
            <w:p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2.顾客每月对供应商进行打分，统计2019年1月-2020年6月的满意度平均98%。</w:t>
            </w:r>
          </w:p>
          <w:p>
            <w:p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3.查《管理评审资料》对过程和产品的特性及趋势、供方、顾客满意、服务的符合性进行了分析，均较满意。</w:t>
            </w:r>
          </w:p>
          <w:p>
            <w:pPr>
              <w:adjustRightInd w:val="0"/>
              <w:snapToGrid w:val="0"/>
              <w:spacing w:line="360" w:lineRule="auto"/>
              <w:rPr>
                <w:rFonts w:hint="eastAsia" w:ascii="宋体" w:hAnsi="宋体" w:eastAsia="宋体" w:cs="宋体"/>
                <w:sz w:val="21"/>
                <w:szCs w:val="21"/>
                <w:lang w:bidi="ar"/>
              </w:rPr>
            </w:pPr>
            <w:r>
              <w:rPr>
                <w:rFonts w:hint="eastAsia" w:ascii="宋体" w:hAnsi="宋体" w:cs="宋体"/>
                <w:sz w:val="21"/>
                <w:szCs w:val="21"/>
                <w:lang w:val="en-US" w:eastAsia="zh-CN"/>
              </w:rPr>
              <w:t xml:space="preserve">  根据组织提供的相关文件资料，数据分析深度不够，缺乏实质性的支持性数据文件，现场已经口头提出。</w:t>
            </w:r>
          </w:p>
        </w:tc>
        <w:tc>
          <w:tcPr>
            <w:tcW w:w="646" w:type="dxa"/>
            <w:vAlign w:val="center"/>
          </w:tcPr>
          <w:p>
            <w:pPr>
              <w:spacing w:line="360" w:lineRule="auto"/>
              <w:rPr>
                <w:rFonts w:hint="eastAsia" w:ascii="宋体" w:hAnsi="宋体" w:cs="宋体"/>
                <w:bCs/>
                <w:color w:val="000000"/>
                <w:sz w:val="21"/>
                <w:szCs w:val="21"/>
              </w:rPr>
            </w:pPr>
            <w:r>
              <w:rPr>
                <w:rFonts w:hint="eastAsia" w:ascii="宋体" w:hAnsi="宋体" w:cs="宋体"/>
                <w:bCs/>
                <w:color w:val="000000"/>
                <w:sz w:val="21"/>
                <w:szCs w:val="21"/>
              </w:rPr>
              <w:t>分析和评价</w:t>
            </w:r>
          </w:p>
          <w:p>
            <w:pPr>
              <w:spacing w:line="360" w:lineRule="auto"/>
              <w:jc w:val="left"/>
              <w:rPr>
                <w:rFonts w:hint="eastAsia"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892" w:type="dxa"/>
            <w:vAlign w:val="center"/>
          </w:tcPr>
          <w:p>
            <w:pPr>
              <w:spacing w:line="360" w:lineRule="auto"/>
              <w:rPr>
                <w:rFonts w:hint="eastAsia" w:ascii="宋体" w:hAnsi="宋体" w:cs="宋体"/>
                <w:color w:val="000000"/>
                <w:sz w:val="21"/>
                <w:szCs w:val="21"/>
              </w:rPr>
            </w:pPr>
            <w:r>
              <w:rPr>
                <w:rFonts w:hint="eastAsia" w:ascii="宋体" w:hAnsi="宋体" w:cs="宋体"/>
                <w:color w:val="000000"/>
                <w:sz w:val="21"/>
                <w:szCs w:val="21"/>
              </w:rPr>
              <w:t>内部审核</w:t>
            </w:r>
          </w:p>
          <w:p>
            <w:pPr>
              <w:rPr>
                <w:rFonts w:hint="eastAsia" w:ascii="宋体" w:hAnsi="宋体" w:eastAsia="宋体" w:cs="宋体"/>
                <w:kern w:val="2"/>
                <w:sz w:val="21"/>
                <w:szCs w:val="21"/>
                <w:lang w:val="en-US" w:eastAsia="zh-CN" w:bidi="ar-SA"/>
              </w:rPr>
            </w:pPr>
          </w:p>
        </w:tc>
        <w:tc>
          <w:tcPr>
            <w:tcW w:w="1228" w:type="dxa"/>
            <w:vAlign w:val="center"/>
          </w:tcPr>
          <w:p>
            <w:pPr>
              <w:spacing w:line="360" w:lineRule="auto"/>
              <w:jc w:val="left"/>
              <w:rPr>
                <w:rFonts w:hint="eastAsia" w:ascii="宋体" w:hAnsi="宋体" w:cs="宋体"/>
                <w:color w:val="000000"/>
                <w:sz w:val="21"/>
                <w:szCs w:val="21"/>
              </w:rPr>
            </w:pPr>
            <w:r>
              <w:rPr>
                <w:rFonts w:hint="eastAsia" w:ascii="宋体" w:hAnsi="宋体" w:cs="宋体"/>
                <w:color w:val="000000"/>
                <w:sz w:val="21"/>
                <w:szCs w:val="21"/>
              </w:rPr>
              <w:t>Q</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rPr>
              <w:t>9.2</w:t>
            </w:r>
          </w:p>
          <w:p>
            <w:pPr>
              <w:spacing w:line="360" w:lineRule="auto"/>
              <w:jc w:val="left"/>
              <w:rPr>
                <w:rFonts w:hint="eastAsia" w:ascii="宋体" w:hAnsi="宋体" w:eastAsia="宋体" w:cs="宋体"/>
                <w:b/>
                <w:kern w:val="2"/>
                <w:sz w:val="21"/>
                <w:szCs w:val="21"/>
                <w:lang w:val="en-US" w:eastAsia="zh-CN" w:bidi="ar-SA"/>
              </w:rPr>
            </w:pPr>
            <w:r>
              <w:rPr>
                <w:rFonts w:hint="eastAsia" w:ascii="宋体" w:hAnsi="宋体" w:cs="宋体"/>
                <w:color w:val="000000"/>
                <w:sz w:val="21"/>
                <w:szCs w:val="21"/>
                <w:lang w:val="en-US" w:eastAsia="zh-CN"/>
              </w:rPr>
              <w:t>S4.5</w:t>
            </w:r>
            <w:r>
              <w:rPr>
                <w:rFonts w:hint="eastAsia" w:ascii="宋体" w:hAnsi="宋体" w:cs="宋体"/>
                <w:color w:val="000000"/>
                <w:sz w:val="21"/>
                <w:szCs w:val="21"/>
              </w:rPr>
              <w:t>.</w:t>
            </w:r>
            <w:r>
              <w:rPr>
                <w:rFonts w:hint="eastAsia" w:ascii="宋体" w:hAnsi="宋体" w:cs="宋体"/>
                <w:color w:val="000000"/>
                <w:sz w:val="21"/>
                <w:szCs w:val="21"/>
                <w:lang w:val="en-US" w:eastAsia="zh-CN"/>
              </w:rPr>
              <w:t>5</w:t>
            </w:r>
          </w:p>
        </w:tc>
        <w:tc>
          <w:tcPr>
            <w:tcW w:w="10943" w:type="dxa"/>
            <w:vAlign w:val="center"/>
          </w:tcPr>
          <w:p>
            <w:p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编制有《内部审核程序》，程序中规定公司确定质量管理体系覆盖的每年（12个月）至少接受一次涉及所有条款活动的内部审核。</w:t>
            </w:r>
          </w:p>
          <w:p>
            <w:p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提供有年度内部审核计划包括审核目的、范围、依据、频次、审核方式、审核日程安排。</w:t>
            </w:r>
          </w:p>
          <w:p>
            <w:p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审核时间：2019年12月14日开展了以GB/T19001-2016、GB/T28001-2011结合审核。</w:t>
            </w:r>
          </w:p>
          <w:p>
            <w:p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范围：公司质量和体系覆盖的各部门、所有过程。</w:t>
            </w:r>
          </w:p>
          <w:p>
            <w:p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审核组组成：王建新（组长）、朱卫平、王云倩 （组员）</w:t>
            </w:r>
          </w:p>
          <w:p>
            <w:p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查，重点行政部审核检查表、市场部审核检查表、生技部审核检查表，审核过程及条款基本齐全，未出现审核本部门情况。</w:t>
            </w:r>
          </w:p>
          <w:p>
            <w:p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对应有按审核计划实施审核的现场审核检查表，有审核条款、审核项目及审核记录，有基本内容，但记录较为简单。</w:t>
            </w:r>
          </w:p>
          <w:p>
            <w:pPr>
              <w:adjustRightInd w:val="0"/>
              <w:snapToGrid w:val="0"/>
              <w:spacing w:line="360" w:lineRule="auto"/>
              <w:rPr>
                <w:rFonts w:hint="default" w:ascii="宋体" w:hAnsi="宋体" w:cs="宋体"/>
                <w:sz w:val="21"/>
                <w:szCs w:val="21"/>
                <w:lang w:val="en-US" w:eastAsia="zh-CN"/>
              </w:rPr>
            </w:pPr>
            <w:r>
              <w:rPr>
                <w:rFonts w:hint="eastAsia" w:ascii="宋体" w:hAnsi="宋体" w:cs="宋体"/>
                <w:sz w:val="21"/>
                <w:szCs w:val="21"/>
                <w:lang w:val="en-US" w:eastAsia="zh-CN"/>
              </w:rPr>
              <w:t>查，《内部管理体系审核报告》，审核结论：公司质量管理体系基本符合GB/T19001-2016、GB/T28001-2011的要求，且运行有效，此次内审未开不符合。</w:t>
            </w:r>
          </w:p>
          <w:p>
            <w:p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提供有《内部审核报告》查，审核结论：本公司质量体系得到了有效实施，运行实施保持了适宜性。</w:t>
            </w:r>
          </w:p>
          <w:p>
            <w:p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通过内部审核，公司质量管理体系的建立实施是有效的，符合标准要求。</w:t>
            </w:r>
          </w:p>
          <w:p>
            <w:pPr>
              <w:adjustRightInd w:val="0"/>
              <w:snapToGrid w:val="0"/>
              <w:spacing w:line="360" w:lineRule="auto"/>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公司内审基本符合要求。</w:t>
            </w:r>
          </w:p>
        </w:tc>
        <w:tc>
          <w:tcPr>
            <w:tcW w:w="646" w:type="dxa"/>
            <w:vAlign w:val="center"/>
          </w:tcPr>
          <w:p>
            <w:pPr>
              <w:spacing w:line="360" w:lineRule="auto"/>
              <w:jc w:val="left"/>
              <w:rPr>
                <w:rFonts w:hint="eastAsia"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892" w:type="dxa"/>
            <w:vAlign w:val="center"/>
          </w:tcPr>
          <w:p>
            <w:pPr>
              <w:spacing w:line="360" w:lineRule="auto"/>
              <w:rPr>
                <w:rFonts w:hint="eastAsia" w:ascii="宋体" w:hAnsi="宋体" w:cs="宋体"/>
                <w:color w:val="000000"/>
                <w:sz w:val="21"/>
                <w:szCs w:val="21"/>
              </w:rPr>
            </w:pPr>
            <w:r>
              <w:rPr>
                <w:rFonts w:hint="eastAsia" w:ascii="宋体" w:hAnsi="宋体" w:cs="宋体"/>
                <w:color w:val="000000"/>
                <w:sz w:val="21"/>
                <w:szCs w:val="21"/>
              </w:rPr>
              <w:t>管理评审</w:t>
            </w:r>
          </w:p>
          <w:p>
            <w:pPr>
              <w:rPr>
                <w:rFonts w:hint="eastAsia" w:ascii="宋体" w:hAnsi="宋体" w:eastAsia="宋体" w:cs="宋体"/>
                <w:kern w:val="2"/>
                <w:sz w:val="21"/>
                <w:szCs w:val="21"/>
                <w:lang w:val="en-US" w:eastAsia="zh-CN" w:bidi="ar-SA"/>
              </w:rPr>
            </w:pPr>
          </w:p>
        </w:tc>
        <w:tc>
          <w:tcPr>
            <w:tcW w:w="1228" w:type="dxa"/>
            <w:vAlign w:val="center"/>
          </w:tcPr>
          <w:p>
            <w:pPr>
              <w:spacing w:line="360" w:lineRule="auto"/>
              <w:rPr>
                <w:rFonts w:hint="eastAsia" w:ascii="宋体" w:hAnsi="宋体" w:cs="宋体"/>
                <w:color w:val="000000"/>
                <w:sz w:val="21"/>
                <w:szCs w:val="21"/>
              </w:rPr>
            </w:pPr>
            <w:r>
              <w:rPr>
                <w:rFonts w:hint="eastAsia" w:ascii="宋体" w:hAnsi="宋体" w:cs="宋体"/>
                <w:color w:val="000000"/>
                <w:sz w:val="21"/>
                <w:szCs w:val="21"/>
              </w:rPr>
              <w:t>Q</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rPr>
              <w:t>9.3</w:t>
            </w:r>
          </w:p>
          <w:p>
            <w:pPr>
              <w:spacing w:line="360" w:lineRule="auto"/>
              <w:rPr>
                <w:rFonts w:hint="eastAsia" w:ascii="宋体" w:hAnsi="宋体" w:cs="宋体"/>
                <w:color w:val="000000"/>
                <w:sz w:val="21"/>
                <w:szCs w:val="21"/>
              </w:rPr>
            </w:pPr>
            <w:r>
              <w:rPr>
                <w:rFonts w:hint="eastAsia" w:ascii="宋体" w:hAnsi="宋体" w:cs="宋体"/>
                <w:color w:val="000000"/>
                <w:sz w:val="21"/>
                <w:szCs w:val="21"/>
              </w:rPr>
              <w:t>S</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rPr>
              <w:t>4.6</w:t>
            </w:r>
          </w:p>
          <w:p>
            <w:pPr>
              <w:rPr>
                <w:rFonts w:hint="eastAsia" w:ascii="宋体" w:hAnsi="宋体" w:eastAsia="宋体" w:cs="宋体"/>
                <w:b/>
                <w:kern w:val="2"/>
                <w:sz w:val="21"/>
                <w:szCs w:val="21"/>
                <w:lang w:val="en-US" w:eastAsia="zh-CN" w:bidi="ar-SA"/>
              </w:rPr>
            </w:pPr>
          </w:p>
        </w:tc>
        <w:tc>
          <w:tcPr>
            <w:tcW w:w="10943" w:type="dxa"/>
            <w:vAlign w:val="center"/>
          </w:tcPr>
          <w:p>
            <w:p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查，公司的质量、体系策划了管理评审的管理要求。</w:t>
            </w:r>
          </w:p>
          <w:p>
            <w:p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查，管理评审记录：</w:t>
            </w:r>
          </w:p>
          <w:p>
            <w:p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时间：2019.12.28 主持人：王建峰（总经理）</w:t>
            </w:r>
          </w:p>
          <w:p>
            <w:p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提供管理评审会议签到表。</w:t>
            </w:r>
          </w:p>
          <w:p>
            <w:p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管理评审的输入资料主要是各部门提供的工作总结。</w:t>
            </w:r>
          </w:p>
          <w:p>
            <w:p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查，管理评审输入资料：各部门运行情况报告，主要内容涵盖了公司质量方针、目标适宜性，质量目标完成情况报告，公司质量管理体系运行实施情况，资源状况，服务质量状况，过程控制情况，采取纠正和预防措施情况，顾客满意情况，公司全员质量意识、法规意识和顾客满意意识、组织机构和资源配置情况、体现改进建议、内审结果、与QS相关的内、外部因素变化、有关QS绩效和有效性的信息、资源的充分性、应对风险和机遇采取措施有效性、改进的机会等。</w:t>
            </w:r>
          </w:p>
          <w:p>
            <w:p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输入内容基本满足输入要求。</w:t>
            </w:r>
          </w:p>
          <w:p>
            <w:p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查管理评审输出：</w:t>
            </w:r>
          </w:p>
          <w:p>
            <w:p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提供有《管理评审报告》：</w:t>
            </w:r>
          </w:p>
          <w:p>
            <w:pPr>
              <w:adjustRightInd w:val="0"/>
              <w:snapToGrid w:val="0"/>
              <w:spacing w:line="360" w:lineRule="auto"/>
              <w:ind w:firstLine="210" w:firstLineChars="100"/>
              <w:rPr>
                <w:rFonts w:hint="eastAsia" w:ascii="宋体" w:hAnsi="宋体" w:cs="宋体"/>
                <w:sz w:val="21"/>
                <w:szCs w:val="21"/>
                <w:lang w:val="en-US" w:eastAsia="zh-CN"/>
              </w:rPr>
            </w:pPr>
            <w:r>
              <w:rPr>
                <w:rFonts w:hint="eastAsia" w:ascii="宋体" w:hAnsi="宋体" w:cs="宋体"/>
                <w:sz w:val="21"/>
                <w:szCs w:val="21"/>
                <w:lang w:val="en-US" w:eastAsia="zh-CN"/>
              </w:rPr>
              <w:t>公司的质量方针、质量目标和质量管理体系基本是适宜、充分、有效的，实现公司的质量目标，已建立了自我发现问题和持续改进质量管理体系有效性的机制。</w:t>
            </w:r>
          </w:p>
          <w:p>
            <w:pPr>
              <w:adjustRightInd w:val="0"/>
              <w:snapToGrid w:val="0"/>
              <w:spacing w:line="360" w:lineRule="auto"/>
              <w:ind w:firstLine="210" w:firstLineChars="100"/>
              <w:rPr>
                <w:rFonts w:hint="eastAsia" w:ascii="宋体" w:hAnsi="宋体" w:cs="宋体"/>
                <w:sz w:val="21"/>
                <w:szCs w:val="21"/>
                <w:lang w:val="en-US" w:eastAsia="zh-CN"/>
              </w:rPr>
            </w:pPr>
            <w:r>
              <w:rPr>
                <w:rFonts w:hint="eastAsia" w:ascii="宋体" w:hAnsi="宋体" w:cs="宋体"/>
                <w:sz w:val="21"/>
                <w:szCs w:val="21"/>
                <w:lang w:val="en-US" w:eastAsia="zh-CN"/>
              </w:rPr>
              <w:t>公司对每季度的顾客满意度进行统计，在2019年底进行了顾客满意度的调查，满意度达到98分，达到目标值。目前暂不需要改进。</w:t>
            </w:r>
          </w:p>
          <w:p>
            <w:pPr>
              <w:adjustRightInd w:val="0"/>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提出改进项：</w:t>
            </w:r>
          </w:p>
          <w:p>
            <w:pPr>
              <w:spacing w:line="360" w:lineRule="auto"/>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 xml:space="preserve">   节能降耗，减少生产车间和办公区域资源能源和办公器材消耗量，减排增效，确保环境卫生。管理评审结论：公司的质量管理体系运行是符合是GB/T19001-2016、GB/T28001-2011标准要求的；公司的质量管理体系是有效的、适宜的和充分的。</w:t>
            </w:r>
          </w:p>
        </w:tc>
        <w:tc>
          <w:tcPr>
            <w:tcW w:w="646" w:type="dxa"/>
            <w:vAlign w:val="center"/>
          </w:tcPr>
          <w:p>
            <w:pPr>
              <w:spacing w:line="360" w:lineRule="auto"/>
              <w:jc w:val="left"/>
              <w:rPr>
                <w:rFonts w:hint="eastAsia"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2" w:hRule="atLeast"/>
        </w:trPr>
        <w:tc>
          <w:tcPr>
            <w:tcW w:w="1892" w:type="dxa"/>
            <w:vAlign w:val="center"/>
          </w:tcPr>
          <w:p>
            <w:pPr>
              <w:spacing w:line="360" w:lineRule="auto"/>
              <w:rPr>
                <w:rFonts w:hint="eastAsia" w:ascii="宋体" w:hAnsi="宋体" w:cs="宋体"/>
                <w:sz w:val="21"/>
                <w:szCs w:val="21"/>
              </w:rPr>
            </w:pPr>
            <w:r>
              <w:rPr>
                <w:rFonts w:hint="eastAsia" w:ascii="仿宋" w:hAnsi="仿宋" w:eastAsia="仿宋"/>
                <w:sz w:val="24"/>
                <w:szCs w:val="24"/>
              </w:rPr>
              <w:t>改进的策划及相关的措施情况</w:t>
            </w:r>
          </w:p>
          <w:p>
            <w:pPr>
              <w:rPr>
                <w:rFonts w:hint="eastAsia" w:ascii="宋体" w:hAnsi="宋体" w:eastAsia="宋体" w:cs="宋体"/>
                <w:kern w:val="2"/>
                <w:sz w:val="21"/>
                <w:szCs w:val="21"/>
                <w:lang w:val="en-US" w:eastAsia="zh-CN" w:bidi="ar-SA"/>
              </w:rPr>
            </w:pPr>
          </w:p>
        </w:tc>
        <w:tc>
          <w:tcPr>
            <w:tcW w:w="1228" w:type="dxa"/>
            <w:vAlign w:val="center"/>
          </w:tcPr>
          <w:p>
            <w:pPr>
              <w:spacing w:line="360" w:lineRule="auto"/>
              <w:rPr>
                <w:rFonts w:hint="eastAsia" w:ascii="宋体" w:hAnsi="宋体" w:cs="宋体"/>
                <w:color w:val="000000"/>
                <w:sz w:val="21"/>
                <w:szCs w:val="21"/>
              </w:rPr>
            </w:pPr>
            <w:r>
              <w:rPr>
                <w:rFonts w:hint="eastAsia" w:ascii="宋体" w:hAnsi="宋体" w:cs="宋体"/>
                <w:color w:val="000000"/>
                <w:sz w:val="21"/>
                <w:szCs w:val="21"/>
              </w:rPr>
              <w:t>Q</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rPr>
              <w:t>10.1</w:t>
            </w:r>
          </w:p>
          <w:p>
            <w:pPr>
              <w:rPr>
                <w:rFonts w:hint="eastAsia" w:ascii="宋体" w:hAnsi="宋体" w:cs="宋体"/>
                <w:b/>
                <w:sz w:val="21"/>
                <w:szCs w:val="21"/>
              </w:rPr>
            </w:pPr>
          </w:p>
          <w:p>
            <w:pPr>
              <w:rPr>
                <w:rFonts w:hint="eastAsia" w:ascii="宋体" w:hAnsi="宋体" w:eastAsia="宋体" w:cs="宋体"/>
                <w:b/>
                <w:kern w:val="2"/>
                <w:sz w:val="21"/>
                <w:szCs w:val="21"/>
                <w:lang w:val="en-US" w:eastAsia="zh-CN" w:bidi="ar-SA"/>
              </w:rPr>
            </w:pPr>
          </w:p>
        </w:tc>
        <w:tc>
          <w:tcPr>
            <w:tcW w:w="10943" w:type="dxa"/>
            <w:vAlign w:val="center"/>
          </w:tcPr>
          <w:p>
            <w:pPr>
              <w:adjustRightInd w:val="0"/>
              <w:snapToGrid w:val="0"/>
              <w:spacing w:line="360" w:lineRule="auto"/>
              <w:ind w:firstLine="210" w:firstLineChars="100"/>
              <w:rPr>
                <w:rFonts w:hint="eastAsia" w:ascii="宋体" w:hAnsi="宋体" w:cs="宋体"/>
                <w:sz w:val="21"/>
                <w:szCs w:val="21"/>
                <w:lang w:val="en-US" w:eastAsia="zh-CN"/>
              </w:rPr>
            </w:pPr>
            <w:r>
              <w:rPr>
                <w:rFonts w:hint="eastAsia" w:ascii="宋体" w:hAnsi="宋体" w:cs="宋体"/>
                <w:sz w:val="21"/>
                <w:szCs w:val="21"/>
                <w:lang w:val="en-US" w:eastAsia="zh-CN"/>
              </w:rPr>
              <w:t>公司制定系列程序文件《管理评审程序》、《内部审核程序》、《不合格品控制程序》、《顾客满意度控制程序》、《</w:t>
            </w:r>
            <w:r>
              <w:rPr>
                <w:rFonts w:hint="eastAsia" w:ascii="宋体" w:hAnsi="宋体" w:cs="宋体"/>
                <w:sz w:val="21"/>
                <w:szCs w:val="21"/>
                <w:lang w:val="zh-CN" w:eastAsia="zh-CN"/>
              </w:rPr>
              <w:t>生产和服务管理控制程序</w:t>
            </w:r>
            <w:r>
              <w:rPr>
                <w:rFonts w:hint="eastAsia" w:ascii="宋体" w:hAnsi="宋体" w:cs="宋体"/>
                <w:sz w:val="21"/>
                <w:szCs w:val="21"/>
                <w:lang w:val="en-US" w:eastAsia="zh-CN"/>
              </w:rPr>
              <w:t>》等程序文件，对持续改进的过程予以规定，以实现质量管理体系及产品符合性的持续改进。持续改进的过程包含持续改进的提出、立项、不合格的原因的分析、纠正措施的确定、跟踪和评价及负责部门和人员验证等。</w:t>
            </w:r>
          </w:p>
          <w:p>
            <w:pPr>
              <w:adjustRightInd w:val="0"/>
              <w:snapToGrid w:val="0"/>
              <w:spacing w:line="360" w:lineRule="auto"/>
              <w:ind w:firstLine="210" w:firstLineChars="100"/>
              <w:rPr>
                <w:rFonts w:hint="eastAsia" w:ascii="宋体" w:hAnsi="宋体" w:cs="宋体"/>
                <w:sz w:val="21"/>
                <w:szCs w:val="21"/>
                <w:lang w:val="en-US" w:eastAsia="zh-CN"/>
              </w:rPr>
            </w:pPr>
            <w:r>
              <w:rPr>
                <w:rFonts w:hint="eastAsia" w:ascii="宋体" w:hAnsi="宋体" w:cs="宋体"/>
                <w:sz w:val="21"/>
                <w:szCs w:val="21"/>
                <w:lang w:val="en-US" w:eastAsia="zh-CN"/>
              </w:rPr>
              <w:t>公司通过质量方针、目标的达成分析、内部质量审核结果、数据资料统计分析、纠正和预防措施和管理评审等方式，以推动质量管理体系的持续改进。</w:t>
            </w:r>
          </w:p>
        </w:tc>
        <w:tc>
          <w:tcPr>
            <w:tcW w:w="646" w:type="dxa"/>
            <w:vAlign w:val="center"/>
          </w:tcPr>
          <w:p>
            <w:pPr>
              <w:spacing w:line="360" w:lineRule="auto"/>
              <w:jc w:val="left"/>
              <w:rPr>
                <w:rFonts w:hint="eastAsia"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2" w:hRule="atLeast"/>
        </w:trPr>
        <w:tc>
          <w:tcPr>
            <w:tcW w:w="1892" w:type="dxa"/>
            <w:vAlign w:val="center"/>
          </w:tcPr>
          <w:p>
            <w:pPr>
              <w:spacing w:line="360" w:lineRule="auto"/>
              <w:rPr>
                <w:rFonts w:hint="eastAsia" w:ascii="宋体" w:hAnsi="宋体" w:cs="宋体"/>
                <w:color w:val="000000"/>
                <w:sz w:val="21"/>
                <w:szCs w:val="21"/>
              </w:rPr>
            </w:pPr>
            <w:r>
              <w:rPr>
                <w:rFonts w:hint="eastAsia" w:ascii="宋体" w:hAnsi="宋体" w:cs="宋体"/>
                <w:color w:val="000000"/>
                <w:sz w:val="21"/>
                <w:szCs w:val="21"/>
              </w:rPr>
              <w:t>持续改进</w:t>
            </w:r>
          </w:p>
          <w:p>
            <w:pPr>
              <w:rPr>
                <w:rFonts w:hint="eastAsia" w:ascii="宋体" w:hAnsi="宋体" w:eastAsia="宋体" w:cs="宋体"/>
                <w:kern w:val="2"/>
                <w:sz w:val="21"/>
                <w:szCs w:val="21"/>
                <w:lang w:val="en-US" w:eastAsia="zh-CN" w:bidi="ar-SA"/>
              </w:rPr>
            </w:pPr>
          </w:p>
        </w:tc>
        <w:tc>
          <w:tcPr>
            <w:tcW w:w="1228" w:type="dxa"/>
            <w:vAlign w:val="center"/>
          </w:tcPr>
          <w:p>
            <w:pPr>
              <w:rPr>
                <w:rFonts w:hint="eastAsia" w:ascii="宋体" w:hAnsi="宋体" w:eastAsia="宋体" w:cs="宋体"/>
                <w:b/>
                <w:kern w:val="2"/>
                <w:sz w:val="21"/>
                <w:szCs w:val="21"/>
                <w:lang w:val="en-US" w:eastAsia="zh-CN" w:bidi="ar-SA"/>
              </w:rPr>
            </w:pPr>
            <w:r>
              <w:rPr>
                <w:rFonts w:hint="eastAsia" w:ascii="宋体" w:hAnsi="宋体" w:cs="宋体"/>
                <w:color w:val="000000"/>
                <w:sz w:val="21"/>
                <w:szCs w:val="21"/>
              </w:rPr>
              <w:t>Q</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rPr>
              <w:t>10.3</w:t>
            </w:r>
          </w:p>
        </w:tc>
        <w:tc>
          <w:tcPr>
            <w:tcW w:w="10943" w:type="dxa"/>
            <w:vAlign w:val="center"/>
          </w:tcPr>
          <w:p>
            <w:pPr>
              <w:spacing w:line="360" w:lineRule="auto"/>
              <w:rPr>
                <w:rFonts w:hint="eastAsia" w:ascii="宋体" w:hAnsi="宋体" w:eastAsia="宋体" w:cs="宋体"/>
                <w:color w:val="000000"/>
                <w:kern w:val="2"/>
                <w:sz w:val="21"/>
                <w:szCs w:val="21"/>
                <w:lang w:val="en-US" w:eastAsia="zh-CN" w:bidi="ar-SA"/>
              </w:rPr>
            </w:pPr>
            <w:r>
              <w:rPr>
                <w:rFonts w:hint="eastAsia" w:ascii="宋体" w:hAnsi="宋体" w:cs="宋体"/>
                <w:sz w:val="21"/>
                <w:szCs w:val="21"/>
                <w:lang w:val="en-US" w:eastAsia="zh-CN"/>
              </w:rPr>
              <w:t>公司主要按策划的质量手册、程序文件、安全生产制度等实施运行，主要采用内审、管理评审、数据分析、纠正和预防措施、质量方针和目标等来实现对质量管理体系的改进，另外主要通过日常工作中发现的问题及时予以调整解决来实现。</w:t>
            </w:r>
          </w:p>
        </w:tc>
        <w:tc>
          <w:tcPr>
            <w:tcW w:w="646" w:type="dxa"/>
            <w:vAlign w:val="center"/>
          </w:tcPr>
          <w:p>
            <w:pPr>
              <w:spacing w:line="360" w:lineRule="auto"/>
              <w:jc w:val="left"/>
              <w:rPr>
                <w:rFonts w:hint="eastAsia"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92" w:type="dxa"/>
          </w:tcPr>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国家/地方抽查、顾客满意、相关方投诉处理</w:t>
            </w:r>
          </w:p>
        </w:tc>
        <w:tc>
          <w:tcPr>
            <w:tcW w:w="1228" w:type="dxa"/>
          </w:tcPr>
          <w:p>
            <w:pPr>
              <w:spacing w:line="360" w:lineRule="auto"/>
              <w:ind w:firstLine="420" w:firstLineChars="200"/>
              <w:rPr>
                <w:rFonts w:asciiTheme="minorEastAsia" w:hAnsiTheme="minorEastAsia" w:eastAsiaTheme="minorEastAsia"/>
                <w:szCs w:val="24"/>
              </w:rPr>
            </w:pPr>
          </w:p>
        </w:tc>
        <w:tc>
          <w:tcPr>
            <w:tcW w:w="10943" w:type="dxa"/>
          </w:tcPr>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自公司成立以来，未受到上级主管部门有关质量、职业健康安全的行政处罚。未发生相关方的投诉。</w:t>
            </w: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暂没有国家/地方抽查情况。</w:t>
            </w: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目前没有相关行政主管部门的检查处罚，在审核现场也未发现抽查、相关方投诉等情况。</w:t>
            </w:r>
          </w:p>
        </w:tc>
        <w:tc>
          <w:tcPr>
            <w:tcW w:w="646" w:type="dxa"/>
            <w:vAlign w:val="center"/>
          </w:tcPr>
          <w:p>
            <w:pPr>
              <w:rPr>
                <w:rFonts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892" w:type="dxa"/>
          </w:tcPr>
          <w:p>
            <w:pPr>
              <w:spacing w:line="360" w:lineRule="auto"/>
              <w:ind w:firstLine="420" w:firstLineChars="200"/>
              <w:rPr>
                <w:rFonts w:asciiTheme="minorEastAsia" w:hAnsiTheme="minorEastAsia" w:eastAsiaTheme="minorEastAsia"/>
                <w:szCs w:val="24"/>
              </w:rPr>
            </w:pPr>
            <w:r>
              <w:rPr>
                <w:rFonts w:hint="eastAsia" w:asciiTheme="minorEastAsia" w:hAnsiTheme="minorEastAsia" w:eastAsiaTheme="minorEastAsia"/>
                <w:szCs w:val="24"/>
              </w:rPr>
              <w:t>验证资质</w:t>
            </w:r>
          </w:p>
        </w:tc>
        <w:tc>
          <w:tcPr>
            <w:tcW w:w="1228" w:type="dxa"/>
          </w:tcPr>
          <w:p>
            <w:pPr>
              <w:spacing w:line="360" w:lineRule="auto"/>
              <w:ind w:firstLine="420" w:firstLineChars="200"/>
              <w:rPr>
                <w:rFonts w:asciiTheme="minorEastAsia" w:hAnsiTheme="minorEastAsia" w:eastAsiaTheme="minorEastAsia"/>
                <w:szCs w:val="24"/>
              </w:rPr>
            </w:pPr>
          </w:p>
        </w:tc>
        <w:tc>
          <w:tcPr>
            <w:tcW w:w="10943" w:type="dxa"/>
          </w:tcPr>
          <w:p>
            <w:pPr>
              <w:spacing w:line="360" w:lineRule="auto"/>
              <w:rPr>
                <w:rFonts w:asciiTheme="minorEastAsia" w:hAnsiTheme="minorEastAsia" w:eastAsiaTheme="minorEastAsia"/>
                <w:szCs w:val="24"/>
              </w:rPr>
            </w:pPr>
            <w:r>
              <w:rPr>
                <w:rFonts w:hint="eastAsia" w:ascii="Calibri" w:hAnsi="宋体" w:cs="宋体"/>
                <w:color w:val="000000"/>
                <w:sz w:val="21"/>
                <w:szCs w:val="21"/>
              </w:rPr>
              <w:t>提供营业执照（三证合一），均在有效期内</w:t>
            </w:r>
            <w:r>
              <w:rPr>
                <w:rFonts w:hint="eastAsia" w:ascii="Calibri" w:hAnsi="宋体" w:cs="宋体"/>
                <w:color w:val="000000"/>
                <w:sz w:val="21"/>
                <w:szCs w:val="21"/>
                <w:lang w:eastAsia="zh-CN"/>
              </w:rPr>
              <w:t>；</w:t>
            </w:r>
            <w:r>
              <w:rPr>
                <w:rFonts w:hint="eastAsia" w:ascii="Calibri" w:hAnsi="宋体" w:cs="宋体"/>
                <w:color w:val="000000"/>
                <w:sz w:val="21"/>
                <w:szCs w:val="21"/>
              </w:rPr>
              <w:t>公司严格执行国标及行业要求和法律、法规要求。</w:t>
            </w:r>
          </w:p>
        </w:tc>
        <w:tc>
          <w:tcPr>
            <w:tcW w:w="646" w:type="dxa"/>
            <w:vAlign w:val="center"/>
          </w:tcPr>
          <w:p>
            <w:pPr>
              <w:rPr>
                <w:rFonts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1892" w:type="dxa"/>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lang w:val="en-US" w:eastAsia="zh-CN"/>
              </w:rPr>
              <w:t>初审时</w:t>
            </w:r>
            <w:r>
              <w:rPr>
                <w:rFonts w:hint="eastAsia" w:ascii="宋体" w:hAnsi="宋体"/>
                <w:color w:val="000000" w:themeColor="text1"/>
                <w:szCs w:val="21"/>
              </w:rPr>
              <w:t>问题验证</w:t>
            </w:r>
          </w:p>
        </w:tc>
        <w:tc>
          <w:tcPr>
            <w:tcW w:w="1228" w:type="dxa"/>
            <w:vAlign w:val="center"/>
          </w:tcPr>
          <w:p>
            <w:pPr>
              <w:spacing w:line="360" w:lineRule="auto"/>
              <w:jc w:val="center"/>
              <w:rPr>
                <w:rFonts w:ascii="宋体" w:hAnsi="宋体"/>
                <w:color w:val="000000" w:themeColor="text1"/>
                <w:szCs w:val="21"/>
              </w:rPr>
            </w:pPr>
          </w:p>
        </w:tc>
        <w:tc>
          <w:tcPr>
            <w:tcW w:w="10943" w:type="dxa"/>
            <w:vAlign w:val="center"/>
          </w:tcPr>
          <w:p>
            <w:pPr>
              <w:spacing w:line="360" w:lineRule="auto"/>
              <w:jc w:val="both"/>
              <w:rPr>
                <w:rFonts w:ascii="宋体" w:hAnsi="宋体"/>
                <w:color w:val="000000" w:themeColor="text1"/>
                <w:szCs w:val="21"/>
              </w:rPr>
            </w:pPr>
            <w:r>
              <w:rPr>
                <w:rFonts w:hint="eastAsia" w:ascii="Calibri" w:hAnsi="宋体" w:cs="宋体"/>
                <w:color w:val="000000"/>
                <w:sz w:val="21"/>
                <w:szCs w:val="21"/>
                <w:lang w:val="en-US" w:eastAsia="zh-CN"/>
              </w:rPr>
              <w:t>2018年初审时在现场审核时发现，冲压车间落料工序操作工姚**未佩戴防噪声耳塞。不符合GB/T28001-2011 标准 4.4.6，</w:t>
            </w:r>
            <w:r>
              <w:rPr>
                <w:rFonts w:hint="eastAsia" w:ascii="Calibri" w:hAnsi="宋体" w:cs="宋体"/>
                <w:color w:val="000000"/>
                <w:sz w:val="21"/>
                <w:szCs w:val="21"/>
              </w:rPr>
              <w:t>经现场验证已关闭，整改措施有效。</w:t>
            </w:r>
          </w:p>
        </w:tc>
        <w:tc>
          <w:tcPr>
            <w:tcW w:w="646" w:type="dxa"/>
          </w:tcPr>
          <w:p>
            <w:pPr>
              <w:spacing w:line="360" w:lineRule="auto"/>
              <w:rPr>
                <w:rFonts w:ascii="宋体" w:hAnsi="宋体" w:cs="宋体"/>
                <w:szCs w:val="21"/>
              </w:rPr>
            </w:pPr>
          </w:p>
        </w:tc>
      </w:tr>
    </w:tbl>
    <w:p>
      <w:pPr>
        <w:pStyle w:val="3"/>
        <w:ind w:left="0" w:leftChars="0" w:firstLine="0" w:firstLineChars="0"/>
        <w:rPr>
          <w:rFonts w:hint="eastAsia" w:ascii="隶书" w:hAnsi="宋体" w:eastAsia="隶书"/>
          <w:bCs/>
          <w:color w:val="000000"/>
          <w:sz w:val="36"/>
          <w:szCs w:val="36"/>
        </w:rPr>
      </w:pPr>
    </w:p>
    <w:p/>
    <w:p>
      <w:pPr>
        <w:pStyle w:val="7"/>
      </w:pPr>
      <w:r>
        <w:rPr>
          <w:rFonts w:hint="eastAsia"/>
        </w:rPr>
        <w:t>说明：不符合标注N</w:t>
      </w:r>
    </w:p>
    <w:sectPr>
      <w:headerReference r:id="rId3" w:type="default"/>
      <w:footerReference r:id="rId4" w:type="default"/>
      <w:pgSz w:w="16838" w:h="11906" w:orient="landscape"/>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modern"/>
    <w:pitch w:val="default"/>
    <w:sig w:usb0="00000000" w:usb1="00000000" w:usb2="00000010" w:usb3="00000000" w:csb0="00100000" w:csb1="00000000"/>
  </w:font>
  <w:font w:name="隶书">
    <w:altName w:val="微软雅黑"/>
    <w:panose1 w:val="0201050906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4900"/>
    </w:sdtPr>
    <w:sdtContent>
      <w:sdt>
        <w:sdtPr>
          <w:id w:val="171357217"/>
        </w:sdtPr>
        <w:sdtContent>
          <w:p>
            <w:pPr>
              <w:pStyle w:val="7"/>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11</w:t>
            </w:r>
            <w:r>
              <w:rPr>
                <w:b/>
                <w:sz w:val="24"/>
                <w:szCs w:val="24"/>
              </w:rPr>
              <w:fldChar w:fldCharType="end"/>
            </w:r>
          </w:p>
        </w:sdtContent>
      </w:sdt>
    </w:sdtContent>
  </w:sdt>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tabs>
        <w:tab w:val="left" w:pos="8910"/>
        <w:tab w:val="left" w:pos="9142"/>
        <w:tab w:val="clear" w:pos="4153"/>
      </w:tabs>
      <w:spacing w:line="320" w:lineRule="exact"/>
      <w:ind w:left="-86" w:leftChars="-41" w:firstLine="810" w:firstLineChars="450"/>
      <w:jc w:val="left"/>
      <w:rPr>
        <w:rStyle w:val="16"/>
        <w:rFonts w:hint="default"/>
      </w:rPr>
    </w:pPr>
    <w:r>
      <w:drawing>
        <wp:anchor distT="0" distB="0" distL="114300" distR="114300" simplePos="0" relativeHeight="251660288" behindDoc="1" locked="0" layoutInCell="1" allowOverlap="1">
          <wp:simplePos x="0" y="0"/>
          <wp:positionH relativeFrom="column">
            <wp:posOffset>-635</wp:posOffset>
          </wp:positionH>
          <wp:positionV relativeFrom="paragraph">
            <wp:posOffset>4445</wp:posOffset>
          </wp:positionV>
          <wp:extent cx="410210" cy="433070"/>
          <wp:effectExtent l="19050" t="0" r="8890" b="0"/>
          <wp:wrapTight wrapText="bothSides">
            <wp:wrapPolygon>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1"/>
                  <a:srcRect/>
                  <a:stretch>
                    <a:fillRect/>
                  </a:stretch>
                </pic:blipFill>
                <pic:spPr>
                  <a:xfrm>
                    <a:off x="0" y="0"/>
                    <a:ext cx="410210" cy="433070"/>
                  </a:xfrm>
                  <a:prstGeom prst="rect">
                    <a:avLst/>
                  </a:prstGeom>
                  <a:noFill/>
                  <a:ln w="9525">
                    <a:noFill/>
                    <a:miter lim="800000"/>
                    <a:headEnd/>
                    <a:tailEnd/>
                  </a:ln>
                </pic:spPr>
              </pic:pic>
            </a:graphicData>
          </a:graphic>
        </wp:anchor>
      </w:drawing>
    </w:r>
    <w:r>
      <w:rPr>
        <w:rStyle w:val="16"/>
        <w:rFonts w:hint="default"/>
      </w:rPr>
      <w:t>北京国标联合认证有限公司</w:t>
    </w:r>
    <w:r>
      <w:rPr>
        <w:rStyle w:val="16"/>
        <w:rFonts w:hint="default"/>
      </w:rPr>
      <w:tab/>
    </w:r>
    <w:r>
      <w:rPr>
        <w:rStyle w:val="16"/>
        <w:rFonts w:hint="default"/>
      </w:rPr>
      <w:tab/>
    </w:r>
    <w:r>
      <w:rPr>
        <w:rStyle w:val="16"/>
        <w:rFonts w:hint="default"/>
      </w:rPr>
      <w:tab/>
    </w:r>
  </w:p>
  <w:p>
    <w:pPr>
      <w:pStyle w:val="8"/>
      <w:pBdr>
        <w:bottom w:val="none" w:color="auto" w:sz="0" w:space="1"/>
      </w:pBdr>
      <w:spacing w:line="320" w:lineRule="exact"/>
      <w:jc w:val="left"/>
    </w:pPr>
    <w:r>
      <w:pict>
        <v:shape id="文本框 1" o:spid="_x0000_s4097" o:spt="202" type="#_x0000_t202" style="position:absolute;left:0pt;margin-left:554.75pt;margin-top:2.2pt;height:20.2pt;width:172pt;z-index:251661312;mso-width-relative:page;mso-height-relative:page;" stroked="f" coordsize="21600,21600" o:gfxdata="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DDVqXNcA&#10;AAAJAQAADwAAAAAAAAABACAAAAAiAAAAZHJzL2Rvd25yZXYueG1sUEsBAhQAFAAAAAgAh07iQEPN&#10;lhyuAQAAMgMAAA4AAAAAAAAAAQAgAAAAJgEAAGRycy9lMm9Eb2MueG1sUEsFBgAAAAAGAAYAWQEA&#10;AEYFAAAAAA==&#10;">
          <v:path/>
          <v:fill focussize="0,0"/>
          <v:stroke on="f" joinstyle="miter"/>
          <v:imagedata o:title=""/>
          <o:lock v:ext="edit"/>
          <v:textbox>
            <w:txbxContent>
              <w:p>
                <w:r>
                  <w:rPr>
                    <w:rFonts w:hint="eastAsia"/>
                    <w:sz w:val="18"/>
                    <w:szCs w:val="18"/>
                  </w:rPr>
                  <w:t>ISC-B-II-1</w:t>
                </w:r>
                <w:r>
                  <w:rPr>
                    <w:sz w:val="18"/>
                    <w:szCs w:val="18"/>
                  </w:rPr>
                  <w:t>2</w:t>
                </w:r>
                <w:r>
                  <w:rPr>
                    <w:rFonts w:hint="eastAsia"/>
                    <w:sz w:val="18"/>
                    <w:szCs w:val="18"/>
                  </w:rPr>
                  <w:t xml:space="preserve"> 管理体系审核记录表(03版)</w:t>
                </w:r>
              </w:p>
              <w:p>
                <w:r>
                  <w:rPr>
                    <w:rFonts w:hint="eastAsia"/>
                    <w:sz w:val="18"/>
                    <w:szCs w:val="18"/>
                  </w:rPr>
                  <w:t>ISC-</w:t>
                </w:r>
                <w:r>
                  <w:rPr>
                    <w:sz w:val="18"/>
                    <w:szCs w:val="18"/>
                  </w:rPr>
                  <w:t>B</w:t>
                </w:r>
                <w:r>
                  <w:rPr>
                    <w:rFonts w:hint="eastAsia"/>
                    <w:sz w:val="18"/>
                    <w:szCs w:val="18"/>
                  </w:rPr>
                  <w:t>-</w:t>
                </w:r>
                <w:r>
                  <w:rPr>
                    <w:sz w:val="18"/>
                    <w:szCs w:val="18"/>
                  </w:rPr>
                  <w:t>I</w:t>
                </w:r>
                <w:r>
                  <w:rPr>
                    <w:rFonts w:hint="eastAsia"/>
                    <w:sz w:val="18"/>
                    <w:szCs w:val="18"/>
                  </w:rPr>
                  <w:t>-31管理体系审核记录表(03版)</w:t>
                </w:r>
              </w:p>
              <w:p/>
            </w:txbxContent>
          </v:textbox>
        </v:shape>
      </w:pict>
    </w:r>
    <w:r>
      <w:rPr>
        <w:rStyle w:val="16"/>
        <w:rFonts w:hint="default"/>
      </w:rPr>
      <w:t xml:space="preserve">        </w:t>
    </w:r>
    <w:r>
      <w:rPr>
        <w:rStyle w:val="16"/>
        <w:rFonts w:hint="default"/>
        <w:w w:val="90"/>
      </w:rPr>
      <w:t>Beijing International Standard united Certification Co.,Ltd.</w:t>
    </w:r>
    <w:r>
      <w:rPr>
        <w:rStyle w:val="16"/>
        <w:rFonts w:hint="default"/>
        <w:w w:val="90"/>
        <w:szCs w:val="21"/>
      </w:rPr>
      <w:t xml:space="preserve">  </w:t>
    </w:r>
    <w:r>
      <w:rPr>
        <w:rStyle w:val="16"/>
        <w:rFonts w:hint="default"/>
        <w:w w:val="90"/>
        <w:sz w:val="20"/>
      </w:rPr>
      <w:t xml:space="preserve"> </w:t>
    </w:r>
    <w:r>
      <w:rPr>
        <w:rStyle w:val="16"/>
        <w:rFonts w:hint="default"/>
        <w:w w:val="90"/>
      </w:rPr>
      <w:t xml:space="preserve">                   </w:t>
    </w:r>
  </w:p>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42393C"/>
    <w:multiLevelType w:val="singleLevel"/>
    <w:tmpl w:val="FB42393C"/>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973B4"/>
    <w:rsid w:val="00015927"/>
    <w:rsid w:val="000237F6"/>
    <w:rsid w:val="0003373A"/>
    <w:rsid w:val="000F52FD"/>
    <w:rsid w:val="00122FE8"/>
    <w:rsid w:val="001A2D7F"/>
    <w:rsid w:val="001C5D0F"/>
    <w:rsid w:val="0023220B"/>
    <w:rsid w:val="002D34D5"/>
    <w:rsid w:val="002F4173"/>
    <w:rsid w:val="00337922"/>
    <w:rsid w:val="00340867"/>
    <w:rsid w:val="00355DE5"/>
    <w:rsid w:val="00380837"/>
    <w:rsid w:val="00393034"/>
    <w:rsid w:val="003A198A"/>
    <w:rsid w:val="003B0BFB"/>
    <w:rsid w:val="00410914"/>
    <w:rsid w:val="00417312"/>
    <w:rsid w:val="00536930"/>
    <w:rsid w:val="00564E53"/>
    <w:rsid w:val="00607DF5"/>
    <w:rsid w:val="00644FE2"/>
    <w:rsid w:val="0067640C"/>
    <w:rsid w:val="006B0238"/>
    <w:rsid w:val="006C71AB"/>
    <w:rsid w:val="006E678B"/>
    <w:rsid w:val="007045E0"/>
    <w:rsid w:val="00732F2B"/>
    <w:rsid w:val="007757F3"/>
    <w:rsid w:val="007E6AEB"/>
    <w:rsid w:val="00863FFA"/>
    <w:rsid w:val="00865AF9"/>
    <w:rsid w:val="00875566"/>
    <w:rsid w:val="008973EE"/>
    <w:rsid w:val="008F47AB"/>
    <w:rsid w:val="009256F5"/>
    <w:rsid w:val="009549FC"/>
    <w:rsid w:val="00960502"/>
    <w:rsid w:val="00971600"/>
    <w:rsid w:val="009973B4"/>
    <w:rsid w:val="009A2DE9"/>
    <w:rsid w:val="009B31E6"/>
    <w:rsid w:val="009C28C1"/>
    <w:rsid w:val="009F7EED"/>
    <w:rsid w:val="00A0549C"/>
    <w:rsid w:val="00A94495"/>
    <w:rsid w:val="00AF0AAB"/>
    <w:rsid w:val="00B11AB0"/>
    <w:rsid w:val="00B17249"/>
    <w:rsid w:val="00B23E34"/>
    <w:rsid w:val="00B61836"/>
    <w:rsid w:val="00BF597E"/>
    <w:rsid w:val="00C056E2"/>
    <w:rsid w:val="00C51A36"/>
    <w:rsid w:val="00C55228"/>
    <w:rsid w:val="00CB3C0B"/>
    <w:rsid w:val="00CD5430"/>
    <w:rsid w:val="00CE315A"/>
    <w:rsid w:val="00CF3070"/>
    <w:rsid w:val="00D06F59"/>
    <w:rsid w:val="00D14E37"/>
    <w:rsid w:val="00D8388C"/>
    <w:rsid w:val="00DE5240"/>
    <w:rsid w:val="00E642C8"/>
    <w:rsid w:val="00E7083C"/>
    <w:rsid w:val="00EB0164"/>
    <w:rsid w:val="00ED0F62"/>
    <w:rsid w:val="00EF4552"/>
    <w:rsid w:val="00F219DA"/>
    <w:rsid w:val="00F7504A"/>
    <w:rsid w:val="01486283"/>
    <w:rsid w:val="021416D8"/>
    <w:rsid w:val="03DC0FCC"/>
    <w:rsid w:val="04343D46"/>
    <w:rsid w:val="044D4B75"/>
    <w:rsid w:val="045B56B3"/>
    <w:rsid w:val="04BA6B7A"/>
    <w:rsid w:val="05CD7495"/>
    <w:rsid w:val="06433CF5"/>
    <w:rsid w:val="071800C4"/>
    <w:rsid w:val="083C5F43"/>
    <w:rsid w:val="08537734"/>
    <w:rsid w:val="08815A9C"/>
    <w:rsid w:val="08A81132"/>
    <w:rsid w:val="09525E59"/>
    <w:rsid w:val="0A2A7030"/>
    <w:rsid w:val="0AF255BC"/>
    <w:rsid w:val="0BEC1E27"/>
    <w:rsid w:val="0C6A3782"/>
    <w:rsid w:val="0D3A6D3B"/>
    <w:rsid w:val="0D9D1D5C"/>
    <w:rsid w:val="0E897CBB"/>
    <w:rsid w:val="0EC76BFE"/>
    <w:rsid w:val="0F162D0F"/>
    <w:rsid w:val="101971EF"/>
    <w:rsid w:val="108219C2"/>
    <w:rsid w:val="10BD58B0"/>
    <w:rsid w:val="10CC02BD"/>
    <w:rsid w:val="1135581A"/>
    <w:rsid w:val="132F76B2"/>
    <w:rsid w:val="13EF2575"/>
    <w:rsid w:val="1493723D"/>
    <w:rsid w:val="156E2556"/>
    <w:rsid w:val="157849C1"/>
    <w:rsid w:val="15AD0276"/>
    <w:rsid w:val="17A24658"/>
    <w:rsid w:val="17E90890"/>
    <w:rsid w:val="186E7010"/>
    <w:rsid w:val="18833F23"/>
    <w:rsid w:val="19006116"/>
    <w:rsid w:val="192A3AB8"/>
    <w:rsid w:val="19921EE7"/>
    <w:rsid w:val="19E43C24"/>
    <w:rsid w:val="1A2C47DF"/>
    <w:rsid w:val="1A5805CF"/>
    <w:rsid w:val="1A7B0400"/>
    <w:rsid w:val="1A94454E"/>
    <w:rsid w:val="1B846EE2"/>
    <w:rsid w:val="1BF467A1"/>
    <w:rsid w:val="1C701804"/>
    <w:rsid w:val="1CAE3BF5"/>
    <w:rsid w:val="1CB93E63"/>
    <w:rsid w:val="1D224A40"/>
    <w:rsid w:val="1D553A9B"/>
    <w:rsid w:val="1D557804"/>
    <w:rsid w:val="1DA96624"/>
    <w:rsid w:val="1DF645A9"/>
    <w:rsid w:val="1E030800"/>
    <w:rsid w:val="1E4A1DDF"/>
    <w:rsid w:val="1EA12B27"/>
    <w:rsid w:val="1EBF7DFB"/>
    <w:rsid w:val="1F517785"/>
    <w:rsid w:val="1FCB2501"/>
    <w:rsid w:val="1FD6378B"/>
    <w:rsid w:val="2098573E"/>
    <w:rsid w:val="20DA078C"/>
    <w:rsid w:val="21137D18"/>
    <w:rsid w:val="214827EA"/>
    <w:rsid w:val="21D85A19"/>
    <w:rsid w:val="235E3FCA"/>
    <w:rsid w:val="246D2075"/>
    <w:rsid w:val="249D1B51"/>
    <w:rsid w:val="258C1377"/>
    <w:rsid w:val="25B63D74"/>
    <w:rsid w:val="26EF525E"/>
    <w:rsid w:val="272F0E48"/>
    <w:rsid w:val="27B32443"/>
    <w:rsid w:val="27F35084"/>
    <w:rsid w:val="28191FAD"/>
    <w:rsid w:val="28D83944"/>
    <w:rsid w:val="28FE2F29"/>
    <w:rsid w:val="2A163E1B"/>
    <w:rsid w:val="2AC46F78"/>
    <w:rsid w:val="2AF844C7"/>
    <w:rsid w:val="2B2319C0"/>
    <w:rsid w:val="2C3A2852"/>
    <w:rsid w:val="2D546CAF"/>
    <w:rsid w:val="2D5E512C"/>
    <w:rsid w:val="2DA74856"/>
    <w:rsid w:val="2E5E2D23"/>
    <w:rsid w:val="2F5C7822"/>
    <w:rsid w:val="2FE52113"/>
    <w:rsid w:val="308A61A3"/>
    <w:rsid w:val="31631119"/>
    <w:rsid w:val="330904BA"/>
    <w:rsid w:val="345F4D69"/>
    <w:rsid w:val="34B30427"/>
    <w:rsid w:val="35EB5546"/>
    <w:rsid w:val="379B573F"/>
    <w:rsid w:val="37A51D10"/>
    <w:rsid w:val="3886580A"/>
    <w:rsid w:val="38E16034"/>
    <w:rsid w:val="399F0E61"/>
    <w:rsid w:val="39B0398A"/>
    <w:rsid w:val="3A135DBE"/>
    <w:rsid w:val="3A8A6176"/>
    <w:rsid w:val="3B115DC4"/>
    <w:rsid w:val="3B227900"/>
    <w:rsid w:val="3DB575F2"/>
    <w:rsid w:val="3FE4412B"/>
    <w:rsid w:val="40134513"/>
    <w:rsid w:val="40C4529F"/>
    <w:rsid w:val="41BF7F6C"/>
    <w:rsid w:val="424B7984"/>
    <w:rsid w:val="43613655"/>
    <w:rsid w:val="4365029B"/>
    <w:rsid w:val="45256947"/>
    <w:rsid w:val="454511DF"/>
    <w:rsid w:val="458C0DD7"/>
    <w:rsid w:val="46C6402F"/>
    <w:rsid w:val="46F92C4C"/>
    <w:rsid w:val="46FC186C"/>
    <w:rsid w:val="48E731AA"/>
    <w:rsid w:val="49046B1C"/>
    <w:rsid w:val="4AF12E50"/>
    <w:rsid w:val="4B8F4629"/>
    <w:rsid w:val="4BFD6D0A"/>
    <w:rsid w:val="4D034732"/>
    <w:rsid w:val="4D226AAC"/>
    <w:rsid w:val="4DA45115"/>
    <w:rsid w:val="4EA743E6"/>
    <w:rsid w:val="505E674E"/>
    <w:rsid w:val="50D81641"/>
    <w:rsid w:val="50DE4DBD"/>
    <w:rsid w:val="51C3292E"/>
    <w:rsid w:val="51F65C49"/>
    <w:rsid w:val="52A87672"/>
    <w:rsid w:val="52EA70C8"/>
    <w:rsid w:val="52F26A7F"/>
    <w:rsid w:val="54CA19B0"/>
    <w:rsid w:val="554E28FE"/>
    <w:rsid w:val="55DD7700"/>
    <w:rsid w:val="566C2870"/>
    <w:rsid w:val="57B57DBB"/>
    <w:rsid w:val="58DF190E"/>
    <w:rsid w:val="58F13324"/>
    <w:rsid w:val="59441620"/>
    <w:rsid w:val="5B8E2D5D"/>
    <w:rsid w:val="5C0430D5"/>
    <w:rsid w:val="5CD91574"/>
    <w:rsid w:val="5D0E28AF"/>
    <w:rsid w:val="5E122349"/>
    <w:rsid w:val="5EA12B9A"/>
    <w:rsid w:val="5FD0322B"/>
    <w:rsid w:val="61495338"/>
    <w:rsid w:val="61A11EA0"/>
    <w:rsid w:val="62CB5E8E"/>
    <w:rsid w:val="62F25759"/>
    <w:rsid w:val="63511FA7"/>
    <w:rsid w:val="63663611"/>
    <w:rsid w:val="645158D0"/>
    <w:rsid w:val="6496711E"/>
    <w:rsid w:val="64B47601"/>
    <w:rsid w:val="64B52C73"/>
    <w:rsid w:val="64C75CF6"/>
    <w:rsid w:val="64E67A77"/>
    <w:rsid w:val="65043725"/>
    <w:rsid w:val="65631D09"/>
    <w:rsid w:val="65E676AE"/>
    <w:rsid w:val="65F3314E"/>
    <w:rsid w:val="6728581E"/>
    <w:rsid w:val="674B7AEA"/>
    <w:rsid w:val="67A07670"/>
    <w:rsid w:val="67B42CBD"/>
    <w:rsid w:val="68056E47"/>
    <w:rsid w:val="68194C3B"/>
    <w:rsid w:val="69372D96"/>
    <w:rsid w:val="69C55CFF"/>
    <w:rsid w:val="6A12542A"/>
    <w:rsid w:val="6B0274C2"/>
    <w:rsid w:val="6C4C3A45"/>
    <w:rsid w:val="6DB54ECD"/>
    <w:rsid w:val="6E311877"/>
    <w:rsid w:val="6E336B29"/>
    <w:rsid w:val="6EA2154F"/>
    <w:rsid w:val="6ED45DD7"/>
    <w:rsid w:val="6ED464FA"/>
    <w:rsid w:val="6F4021E5"/>
    <w:rsid w:val="6FD51D0A"/>
    <w:rsid w:val="70E2745F"/>
    <w:rsid w:val="7111286E"/>
    <w:rsid w:val="713E1B08"/>
    <w:rsid w:val="71701991"/>
    <w:rsid w:val="71A150C1"/>
    <w:rsid w:val="72340CB9"/>
    <w:rsid w:val="72DE46DF"/>
    <w:rsid w:val="72F76EC7"/>
    <w:rsid w:val="730846B2"/>
    <w:rsid w:val="74802112"/>
    <w:rsid w:val="7480693E"/>
    <w:rsid w:val="749004D4"/>
    <w:rsid w:val="74983E64"/>
    <w:rsid w:val="761A29D2"/>
    <w:rsid w:val="77107979"/>
    <w:rsid w:val="77144069"/>
    <w:rsid w:val="780B6495"/>
    <w:rsid w:val="7A8D6040"/>
    <w:rsid w:val="7BDD4178"/>
    <w:rsid w:val="7C5A28BF"/>
    <w:rsid w:val="7E42085A"/>
    <w:rsid w:val="7E98350E"/>
    <w:rsid w:val="7F542F90"/>
    <w:rsid w:val="7FC01F0E"/>
    <w:rsid w:val="7FD9198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qFormat/>
    <w:uiPriority w:val="0"/>
    <w:pPr>
      <w:keepNext/>
      <w:adjustRightInd w:val="0"/>
      <w:snapToGrid w:val="0"/>
      <w:spacing w:line="400" w:lineRule="atLeast"/>
      <w:ind w:right="48"/>
      <w:jc w:val="center"/>
      <w:textAlignment w:val="baseline"/>
      <w:outlineLvl w:val="1"/>
    </w:pPr>
    <w:rPr>
      <w:rFonts w:ascii="MingLiU" w:eastAsia="MingLiU"/>
      <w:kern w:val="0"/>
      <w:sz w:val="28"/>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adjustRightInd w:val="0"/>
      <w:spacing w:line="360" w:lineRule="atLeast"/>
      <w:ind w:left="480"/>
      <w:textAlignment w:val="baseline"/>
    </w:pPr>
    <w:rPr>
      <w:kern w:val="0"/>
    </w:rPr>
  </w:style>
  <w:style w:type="paragraph" w:styleId="4">
    <w:name w:val="Body Text"/>
    <w:basedOn w:val="1"/>
    <w:unhideWhenUsed/>
    <w:qFormat/>
    <w:uiPriority w:val="99"/>
    <w:pPr>
      <w:spacing w:line="420" w:lineRule="exact"/>
    </w:pPr>
    <w:rPr>
      <w:sz w:val="24"/>
    </w:rPr>
  </w:style>
  <w:style w:type="paragraph" w:styleId="5">
    <w:name w:val="Body Text Indent"/>
    <w:basedOn w:val="1"/>
    <w:qFormat/>
    <w:uiPriority w:val="0"/>
    <w:pPr>
      <w:ind w:firstLine="480" w:firstLineChars="200"/>
    </w:pPr>
    <w:rPr>
      <w:sz w:val="24"/>
    </w:rPr>
  </w:style>
  <w:style w:type="paragraph" w:styleId="6">
    <w:name w:val="Balloon Text"/>
    <w:basedOn w:val="1"/>
    <w:link w:val="15"/>
    <w:semiHidden/>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rPr>
      <w:rFonts w:cs="Times New Roman"/>
      <w:color w:val="000000"/>
      <w:kern w:val="0"/>
      <w:szCs w:val="24"/>
    </w:rPr>
  </w:style>
  <w:style w:type="paragraph" w:customStyle="1" w:styleId="12">
    <w:name w:val="表格文字"/>
    <w:basedOn w:val="1"/>
    <w:qFormat/>
    <w:uiPriority w:val="0"/>
    <w:pPr>
      <w:spacing w:before="25" w:after="25"/>
    </w:pPr>
    <w:rPr>
      <w:bCs/>
      <w:spacing w:val="10"/>
    </w:rPr>
  </w:style>
  <w:style w:type="character" w:customStyle="1" w:styleId="13">
    <w:name w:val="页眉 Char"/>
    <w:basedOn w:val="11"/>
    <w:link w:val="8"/>
    <w:qFormat/>
    <w:uiPriority w:val="99"/>
    <w:rPr>
      <w:rFonts w:ascii="Times New Roman" w:hAnsi="Times New Roman" w:eastAsia="宋体" w:cs="Times New Roman"/>
      <w:sz w:val="18"/>
      <w:szCs w:val="18"/>
    </w:rPr>
  </w:style>
  <w:style w:type="character" w:customStyle="1" w:styleId="14">
    <w:name w:val="页脚 Char"/>
    <w:basedOn w:val="11"/>
    <w:link w:val="7"/>
    <w:qFormat/>
    <w:uiPriority w:val="99"/>
    <w:rPr>
      <w:rFonts w:ascii="Times New Roman" w:hAnsi="Times New Roman" w:eastAsia="宋体" w:cs="Times New Roman"/>
      <w:sz w:val="18"/>
      <w:szCs w:val="18"/>
    </w:rPr>
  </w:style>
  <w:style w:type="character" w:customStyle="1" w:styleId="15">
    <w:name w:val="批注框文本 Char"/>
    <w:basedOn w:val="11"/>
    <w:link w:val="6"/>
    <w:semiHidden/>
    <w:qFormat/>
    <w:uiPriority w:val="99"/>
    <w:rPr>
      <w:rFonts w:ascii="Times New Roman" w:hAnsi="Times New Roman" w:eastAsia="宋体" w:cs="Times New Roman"/>
      <w:sz w:val="18"/>
      <w:szCs w:val="18"/>
    </w:rPr>
  </w:style>
  <w:style w:type="character" w:customStyle="1" w:styleId="16">
    <w:name w:val="Char Char1"/>
    <w:qFormat/>
    <w:locked/>
    <w:uiPriority w:val="0"/>
    <w:rPr>
      <w:rFonts w:hint="eastAsia" w:ascii="宋体" w:hAnsi="Courier New" w:eastAsia="宋体"/>
      <w:kern w:val="2"/>
      <w:sz w:val="21"/>
      <w:lang w:val="en-US" w:eastAsia="zh-CN" w:bidi="ar-SA"/>
    </w:rPr>
  </w:style>
  <w:style w:type="paragraph" w:styleId="17">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964</Words>
  <Characters>5499</Characters>
  <Lines>45</Lines>
  <Paragraphs>12</Paragraphs>
  <TotalTime>5</TotalTime>
  <ScaleCrop>false</ScaleCrop>
  <LinksUpToDate>false</LinksUpToDate>
  <CharactersWithSpaces>6451</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2015-06-17T12:51:00Z</dcterms:created>
  <dc:creator>微软用户</dc:creator>
  <cp:lastModifiedBy>LIL</cp:lastModifiedBy>
  <dcterms:modified xsi:type="dcterms:W3CDTF">2020-08-16T13:54:45Z</dcterms:modifi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